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141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99"/>
        <w:gridCol w:w="2290"/>
        <w:gridCol w:w="5790"/>
        <w:gridCol w:w="615"/>
        <w:gridCol w:w="720"/>
        <w:gridCol w:w="1320"/>
        <w:gridCol w:w="1395"/>
        <w:gridCol w:w="1372"/>
      </w:tblGrid>
      <w:tr w14:paraId="737FB1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90" w:hRule="atLeast"/>
          <w:jc w:val="center"/>
        </w:trPr>
        <w:tc>
          <w:tcPr>
            <w:tcW w:w="2889" w:type="dxa"/>
            <w:gridSpan w:val="2"/>
            <w:tcBorders>
              <w:top w:val="nil"/>
              <w:left w:val="nil"/>
              <w:bottom w:val="nil"/>
              <w:right w:val="nil"/>
            </w:tcBorders>
            <w:shd w:val="clear" w:color="auto" w:fill="auto"/>
            <w:vAlign w:val="top"/>
          </w:tcPr>
          <w:p w14:paraId="029DDB5F">
            <w:pPr>
              <w:snapToGrid w:val="0"/>
              <w:jc w:val="left"/>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16"/>
                <w:szCs w:val="16"/>
                <w:u w:val="none"/>
                <w:lang w:val="en-US" w:eastAsia="zh-CN" w:bidi="ar"/>
              </w:rPr>
              <w:t>附表1</w:t>
            </w:r>
          </w:p>
        </w:tc>
        <w:tc>
          <w:tcPr>
            <w:tcW w:w="5790" w:type="dxa"/>
            <w:tcBorders>
              <w:top w:val="nil"/>
              <w:left w:val="nil"/>
              <w:bottom w:val="nil"/>
              <w:right w:val="nil"/>
            </w:tcBorders>
            <w:shd w:val="clear" w:color="auto" w:fill="auto"/>
            <w:vAlign w:val="top"/>
          </w:tcPr>
          <w:p w14:paraId="43921B68">
            <w:pPr>
              <w:snapToGrid w:val="0"/>
              <w:jc w:val="center"/>
              <w:rPr>
                <w:rFonts w:hint="eastAsia" w:ascii="宋体" w:hAnsi="宋体" w:eastAsia="宋体" w:cs="宋体"/>
                <w:i w:val="0"/>
                <w:iCs w:val="0"/>
                <w:color w:val="auto"/>
                <w:sz w:val="20"/>
                <w:szCs w:val="20"/>
                <w:u w:val="none"/>
              </w:rPr>
            </w:pPr>
          </w:p>
        </w:tc>
        <w:tc>
          <w:tcPr>
            <w:tcW w:w="615" w:type="dxa"/>
            <w:tcBorders>
              <w:top w:val="nil"/>
              <w:left w:val="nil"/>
              <w:bottom w:val="nil"/>
              <w:right w:val="nil"/>
            </w:tcBorders>
            <w:shd w:val="clear" w:color="auto" w:fill="auto"/>
            <w:vAlign w:val="top"/>
          </w:tcPr>
          <w:p w14:paraId="62DEE94F">
            <w:pPr>
              <w:snapToGrid w:val="0"/>
              <w:jc w:val="center"/>
              <w:rPr>
                <w:rFonts w:hint="eastAsia" w:ascii="宋体" w:hAnsi="宋体" w:eastAsia="宋体" w:cs="宋体"/>
                <w:i w:val="0"/>
                <w:iCs w:val="0"/>
                <w:color w:val="auto"/>
                <w:sz w:val="20"/>
                <w:szCs w:val="20"/>
                <w:u w:val="none"/>
              </w:rPr>
            </w:pPr>
          </w:p>
        </w:tc>
        <w:tc>
          <w:tcPr>
            <w:tcW w:w="720" w:type="dxa"/>
            <w:tcBorders>
              <w:top w:val="nil"/>
              <w:left w:val="nil"/>
              <w:bottom w:val="nil"/>
              <w:right w:val="nil"/>
            </w:tcBorders>
            <w:shd w:val="clear" w:color="auto" w:fill="auto"/>
            <w:vAlign w:val="center"/>
          </w:tcPr>
          <w:p w14:paraId="1AC8E47E">
            <w:pPr>
              <w:snapToGrid w:val="0"/>
              <w:jc w:val="center"/>
              <w:rPr>
                <w:rFonts w:hint="eastAsia" w:ascii="宋体" w:hAnsi="宋体" w:eastAsia="宋体" w:cs="宋体"/>
                <w:b/>
                <w:bCs/>
                <w:i w:val="0"/>
                <w:iCs w:val="0"/>
                <w:color w:val="auto"/>
                <w:sz w:val="20"/>
                <w:szCs w:val="20"/>
                <w:u w:val="none"/>
              </w:rPr>
            </w:pPr>
          </w:p>
        </w:tc>
        <w:tc>
          <w:tcPr>
            <w:tcW w:w="1320" w:type="dxa"/>
            <w:tcBorders>
              <w:top w:val="nil"/>
              <w:left w:val="nil"/>
              <w:bottom w:val="nil"/>
              <w:right w:val="nil"/>
            </w:tcBorders>
            <w:shd w:val="clear" w:color="auto" w:fill="auto"/>
            <w:vAlign w:val="center"/>
          </w:tcPr>
          <w:p w14:paraId="104A0631">
            <w:pPr>
              <w:snapToGrid w:val="0"/>
              <w:jc w:val="center"/>
              <w:rPr>
                <w:rFonts w:hint="eastAsia" w:ascii="宋体" w:hAnsi="宋体" w:eastAsia="宋体" w:cs="宋体"/>
                <w:b/>
                <w:bCs/>
                <w:i w:val="0"/>
                <w:iCs w:val="0"/>
                <w:color w:val="auto"/>
                <w:sz w:val="20"/>
                <w:szCs w:val="20"/>
                <w:u w:val="none"/>
              </w:rPr>
            </w:pPr>
          </w:p>
        </w:tc>
        <w:tc>
          <w:tcPr>
            <w:tcW w:w="1395" w:type="dxa"/>
            <w:tcBorders>
              <w:top w:val="nil"/>
              <w:left w:val="nil"/>
              <w:bottom w:val="nil"/>
              <w:right w:val="nil"/>
            </w:tcBorders>
            <w:shd w:val="clear" w:color="auto" w:fill="auto"/>
            <w:vAlign w:val="center"/>
          </w:tcPr>
          <w:p w14:paraId="30B76BB6">
            <w:pPr>
              <w:snapToGrid w:val="0"/>
              <w:jc w:val="center"/>
              <w:rPr>
                <w:rFonts w:hint="eastAsia" w:ascii="宋体" w:hAnsi="宋体" w:eastAsia="宋体" w:cs="宋体"/>
                <w:b/>
                <w:bCs/>
                <w:i w:val="0"/>
                <w:iCs w:val="0"/>
                <w:color w:val="auto"/>
                <w:sz w:val="20"/>
                <w:szCs w:val="20"/>
                <w:u w:val="none"/>
              </w:rPr>
            </w:pPr>
          </w:p>
        </w:tc>
        <w:tc>
          <w:tcPr>
            <w:tcW w:w="1372" w:type="dxa"/>
            <w:tcBorders>
              <w:top w:val="nil"/>
              <w:left w:val="nil"/>
              <w:bottom w:val="nil"/>
              <w:right w:val="nil"/>
            </w:tcBorders>
            <w:shd w:val="clear" w:color="auto" w:fill="auto"/>
            <w:vAlign w:val="center"/>
          </w:tcPr>
          <w:p w14:paraId="44A32EDD">
            <w:pPr>
              <w:snapToGrid w:val="0"/>
              <w:jc w:val="center"/>
              <w:rPr>
                <w:rFonts w:hint="eastAsia" w:ascii="宋体" w:hAnsi="宋体" w:eastAsia="宋体" w:cs="宋体"/>
                <w:b/>
                <w:bCs/>
                <w:i w:val="0"/>
                <w:iCs w:val="0"/>
                <w:color w:val="auto"/>
                <w:sz w:val="20"/>
                <w:szCs w:val="20"/>
                <w:u w:val="none"/>
              </w:rPr>
            </w:pPr>
          </w:p>
        </w:tc>
      </w:tr>
      <w:tr w14:paraId="3D23FE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729" w:type="dxa"/>
            <w:gridSpan w:val="7"/>
            <w:tcBorders>
              <w:top w:val="nil"/>
              <w:left w:val="nil"/>
              <w:bottom w:val="nil"/>
              <w:right w:val="nil"/>
            </w:tcBorders>
            <w:shd w:val="clear" w:color="auto" w:fill="auto"/>
            <w:vAlign w:val="center"/>
          </w:tcPr>
          <w:p w14:paraId="3026CBDD">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长沙市轨道交通6号线智慧地铁建设工程（运营期）设备集成采购项目控制价公示表-设备部分</w:t>
            </w:r>
          </w:p>
        </w:tc>
        <w:tc>
          <w:tcPr>
            <w:tcW w:w="1372" w:type="dxa"/>
            <w:tcBorders>
              <w:top w:val="nil"/>
              <w:left w:val="nil"/>
              <w:bottom w:val="nil"/>
              <w:right w:val="nil"/>
            </w:tcBorders>
            <w:shd w:val="clear" w:color="auto" w:fill="auto"/>
            <w:vAlign w:val="center"/>
          </w:tcPr>
          <w:p w14:paraId="7B290A79">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4"/>
                <w:szCs w:val="24"/>
                <w:u w:val="none"/>
                <w:lang w:val="en-US" w:eastAsia="zh-CN" w:bidi="ar"/>
              </w:rPr>
            </w:pPr>
          </w:p>
        </w:tc>
      </w:tr>
      <w:tr w14:paraId="2AA42F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101" w:type="dxa"/>
            <w:gridSpan w:val="8"/>
            <w:tcBorders>
              <w:top w:val="nil"/>
              <w:left w:val="nil"/>
              <w:bottom w:val="single" w:color="000000" w:sz="4" w:space="0"/>
              <w:right w:val="nil"/>
            </w:tcBorders>
            <w:shd w:val="clear" w:color="auto" w:fill="auto"/>
            <w:vAlign w:val="center"/>
          </w:tcPr>
          <w:p w14:paraId="208AEE84">
            <w:pPr>
              <w:keepNext w:val="0"/>
              <w:keepLines w:val="0"/>
              <w:widowControl/>
              <w:suppressLineNumbers w:val="0"/>
              <w:snapToGrid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 xml:space="preserve">                                                                                                                           单位：人民币元</w:t>
            </w:r>
          </w:p>
        </w:tc>
      </w:tr>
      <w:tr w14:paraId="6D01D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9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7DBC2">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46586">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名称及规格</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FBDFAD">
            <w:pPr>
              <w:keepNext w:val="0"/>
              <w:keepLines w:val="0"/>
              <w:widowControl/>
              <w:suppressLineNumbers w:val="0"/>
              <w:snapToGrid w:val="0"/>
              <w:jc w:val="center"/>
              <w:textAlignment w:val="center"/>
              <w:rPr>
                <w:rFonts w:hint="default"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项目特征</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2D853C">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单位</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910E4">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数量</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615B5">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控制价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含税单价</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2EF62">
            <w:pPr>
              <w:keepNext w:val="0"/>
              <w:keepLines w:val="0"/>
              <w:widowControl/>
              <w:suppressLineNumbers w:val="0"/>
              <w:snapToGrid w:val="0"/>
              <w:jc w:val="center"/>
              <w:textAlignment w:val="center"/>
              <w:rPr>
                <w:rFonts w:hint="default"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控制价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含税合价</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E6350">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w:t>
            </w:r>
          </w:p>
        </w:tc>
      </w:tr>
      <w:tr w14:paraId="74B790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53A173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 防洪防汛系统主要设备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65EB48">
            <w:pPr>
              <w:snapToGrid w:val="0"/>
              <w:jc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B22DB">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E1CA7">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4CECFF">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ECF45">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DC4F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76B93C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13E3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B3A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电子水尺（含电子水尺保护盒）</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2906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1.名称:电子水尺</w:t>
            </w:r>
            <w:r>
              <w:rPr>
                <w:rFonts w:hint="eastAsia" w:ascii="宋体" w:hAnsi="宋体" w:eastAsia="宋体" w:cs="宋体"/>
                <w:i w:val="0"/>
                <w:iCs w:val="0"/>
                <w:color w:val="auto"/>
                <w:kern w:val="0"/>
                <w:sz w:val="20"/>
                <w:szCs w:val="20"/>
                <w:u w:val="none"/>
                <w:lang w:val="en-US" w:eastAsia="zh-CN" w:bidi="ar"/>
              </w:rPr>
              <w:t>（含电子水尺保护盒）</w:t>
            </w:r>
          </w:p>
          <w:p w14:paraId="4E7247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电子水尺应满足地铁出入口、风亭等室外区域安装与运行条件，主要参数要求如下：一体式封装，供电：24VDC/AC，兼容三线制电流、电压、模拟量输出，带一路开关量，量程可调且不小于100cm，精度不大于1cm，防护等级不低于IP68。</w:t>
            </w:r>
          </w:p>
          <w:p w14:paraId="56B4AC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3.其他:包括但不限于系统设计、软硬件开发与制造、供货、安装督导、系统测试、试运行、其他相关验收、培训、质保等工作内容。</w:t>
            </w:r>
          </w:p>
          <w:p w14:paraId="399967D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2FBC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BC70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A952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21E5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112200.00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15FD0">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6EAA64A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4E2AB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CB65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AI点位模块</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8950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1.名称:AI点位模块</w:t>
            </w:r>
          </w:p>
          <w:p w14:paraId="4E27EF9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AI点位模块应满足在车站BAS控制箱内安装与运行条件，主要参数要求如下：模拟量输入，支持带电插拔，定标、报警完全软件可配置，具备故障锁定、开路检测、输入过载保护、通道隔离功能，检测精度(25°C):电压 +0.2%，电流 +0.4%。</w:t>
            </w:r>
          </w:p>
          <w:p w14:paraId="11F4AB0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3.其他:包括但不限于系统设计、软硬件开发与制造、供货、安装督导、系统测试、试运行、其他相关验收、培训、质保等工作内容。</w:t>
            </w:r>
          </w:p>
          <w:p w14:paraId="7EDB576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D733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3C49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A1EF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1069.94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1B77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109133.88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70A00">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26B39F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A4B218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12.2  视频分析系统主要设备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8EA9C">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F7364">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829564">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8DDB5D">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5258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8A5EB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FCDE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C4A1B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4E43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视频分析设备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3540C1CD">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569EC9D5">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03A34980">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ABC1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A565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7C66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0571E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D869A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BB16C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视频智能分析设备（大站）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(120 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53C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1.名称:视频智能分析设备（大站）(120路)</w:t>
            </w:r>
          </w:p>
          <w:p w14:paraId="77C32A1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2.规格:视频智能分析设备应满足地铁通信设备室内运行条件，主要参数要求如下：</w:t>
            </w:r>
          </w:p>
          <w:p w14:paraId="11755CF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（1）机架式设备；为保证系统的安全性和稳定性，单整机包含交换单元、PDU单元、视频业务分析单元。</w:t>
            </w:r>
          </w:p>
          <w:p w14:paraId="2F5F54F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（2）CPU:不少于2颗处理器，单颗主频不小于2.3GHZ，核心数不小于20核40线程； </w:t>
            </w:r>
          </w:p>
          <w:p w14:paraId="7E03B28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（3）内存:120路视频分析设备内存不小于384GBDDR4内存；90路视频分析设备内存不小于256GBDDR4内存； </w:t>
            </w:r>
          </w:p>
          <w:p w14:paraId="5411C9E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（4）GPU:120 路视频分析设备配置不少于7张高性能算力卡，24路并发/张卡；显存总体不小于112GB，FP16算力总体不小于210TFLOPS；90路视频分析设备配置不少于5张高性能算力卡，24路并发/张卡；单卡显存不小于16GB，FP16算力不小于30TFLOPS； </w:t>
            </w:r>
          </w:p>
          <w:p w14:paraId="4CFC2B6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（5）硬盘：2*960GB SSD，2*8T3.5寸 SATA HDD； </w:t>
            </w:r>
          </w:p>
          <w:p w14:paraId="458B9ED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（6）网口: 不少于2个万兆/千兆自适应网口。3.其他:包括但不限于系统设计、软硬件开发与制造、供货、安装督导、系统测试、试运行、其他相关验收、培训、质保等工作内容。</w:t>
            </w:r>
          </w:p>
          <w:p w14:paraId="02E03CD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A3105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8B00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9C07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175000.00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3E7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2450000.00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86C3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3C68E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ED9E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04D8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视频智能分析设备（普通站）</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（90 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210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1.名称:视频智能分析设备（普通站）（90路）</w:t>
            </w:r>
          </w:p>
          <w:p w14:paraId="2D023E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2.规格:视频智能分析设备应满足地铁通信设备室内运行条件，主要参数要求如下：</w:t>
            </w:r>
          </w:p>
          <w:p w14:paraId="4CBB70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（1）机架式设备；为保证系统的安全性和稳定性，单整机包含交换单元、PDU单元、视频业务分析单元。</w:t>
            </w:r>
          </w:p>
          <w:p w14:paraId="509A29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（2）CPU:不少于2颗处理器，单颗主频不小于2.3GHZ，核心数不小于20核40线程； </w:t>
            </w:r>
          </w:p>
          <w:p w14:paraId="68CB8C5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（3）内存:120路视频分析设备内存不小于384GBDDR4内存；90路视频分析设备内存不小于256GBDDR4内存； </w:t>
            </w:r>
          </w:p>
          <w:p w14:paraId="53168B5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（4）GPU:120 路视频分析设备配置不少于7张高性能算力卡，24路并发/张卡；显存总体不小于112GB，FP16算力总体不小于210TFLOPS；90路视频分析设备配置不少于5张高性能算力卡，24路并发/张卡；单卡显存不小于16GB，FP16算力不小于30TFLOPS； </w:t>
            </w:r>
          </w:p>
          <w:p w14:paraId="193877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 xml:space="preserve">（5）硬盘：2*960GB SSD，2*8T3.5寸 SATA HDD； </w:t>
            </w:r>
          </w:p>
          <w:p w14:paraId="157D523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（6）网口: 不少于2个万兆/千兆自适应网口。</w:t>
            </w:r>
          </w:p>
          <w:p w14:paraId="0AA700B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3.其他:包括但不限于系统设计、软硬件开发与制造、供货、安装督导、系统测试、试运行、其他相关验收、培训、质保等工作内容。</w:t>
            </w:r>
          </w:p>
          <w:p w14:paraId="777F251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282A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26A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9995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125000.00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59D2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2500000.00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19DC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2DD613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D8D00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EFD5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E581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1.名称:防火墙设备</w:t>
            </w:r>
          </w:p>
          <w:p w14:paraId="615D9B3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2.规格:采用成熟品牌的防火墙产品；硬件体系架构采用网络处理器；支持VPN；安全过滤带宽大于100MB；支持Dos、DDoS入侵检测；无用户数限制；网络吞吐量：1000MB；控制端口支持：RS-232；支持WEB，SNMP管理。</w:t>
            </w:r>
          </w:p>
          <w:p w14:paraId="0A53362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3.其他:包括但不限于系统设计、软硬件开发与制造、供货、安装督导、系统测试、试运行、其他相关验收、培训、质保等工作内容。</w:t>
            </w:r>
          </w:p>
          <w:p w14:paraId="75B1524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AE04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9ABE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9DD5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39200.00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968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78400.00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1C3CB">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7727CB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19FC6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BC9C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警务室接收终端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A278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9435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AB00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84378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F7C2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9389C1">
            <w:pPr>
              <w:snapToGrid w:val="0"/>
              <w:jc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甲供，硬件</w:t>
            </w:r>
          </w:p>
        </w:tc>
      </w:tr>
      <w:tr w14:paraId="7D4D62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6AF8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73C7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PDU</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ABA1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1.名称:PDU</w:t>
            </w:r>
          </w:p>
          <w:p w14:paraId="2EC3258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2.规格:工业级，8联单回路，额定电流10A，额定电压250Vac，最大功率2500W。</w:t>
            </w:r>
          </w:p>
          <w:p w14:paraId="4240DB1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463D535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2C1D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EE7E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CD45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2FF38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13600.00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09C1">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573DC2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C597DF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 FAS与ACS系统联动主要设备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93512">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D995B">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47881">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2E8B1">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B054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80C0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20E8E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F77A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9CF6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语音播报装置</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71B4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1.名称:语音播报装置</w:t>
            </w:r>
          </w:p>
          <w:p w14:paraId="6189A0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2.规格:（1）供电电压：DC 6V-30V；（2）工作电流：≤1000mA；（3）工作温度：-20℃-70℃；（4）文件格式：Mp3格式(比特率≤192Kbps)。</w:t>
            </w:r>
          </w:p>
          <w:p w14:paraId="7E174E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CD76A3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B8D5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447C6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600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2017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E5199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27B52">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2E80A1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1BB95F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12.4 列车司机行为分析系统主要设备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D348DA">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E44DE0">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F699E">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F7B9C">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F2D69">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2B33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38DFD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D6D5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FAF06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工作站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BBD83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8441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312C4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16C1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229DB">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D1709">
            <w:pPr>
              <w:snapToGrid w:val="0"/>
              <w:jc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sz w:val="20"/>
                <w:szCs w:val="20"/>
                <w:u w:val="none"/>
                <w:lang w:val="en-US" w:eastAsia="zh-CN"/>
              </w:rPr>
              <w:t>甲供，含显示器；硬件</w:t>
            </w:r>
          </w:p>
        </w:tc>
      </w:tr>
      <w:tr w14:paraId="7D7A82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E30D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EE4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8口光纤接入交换机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827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1.名称:8口交换机</w:t>
            </w:r>
          </w:p>
          <w:p w14:paraId="5BD87BA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2.规格:8口千兆小型企业级非网管型交换机，8个标准RJ45接口，即插即用，无风扇设计。</w:t>
            </w:r>
          </w:p>
          <w:p w14:paraId="5A3D20B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572E4A9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FEA7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2C8A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BA3F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2500.00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513BC">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0FF5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55D703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C0728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1EC0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PDU</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49F67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1.名称:PDU</w:t>
            </w:r>
          </w:p>
          <w:p w14:paraId="60D3D2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2.规格:工业级，10联单回路，额定电流10A，额定电压250Vac，最大功率2500W。</w:t>
            </w:r>
          </w:p>
          <w:p w14:paraId="6AF759E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7DC3E04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C27D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815D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8BF7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4C8741">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9C87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yellow"/>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3E7F64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CD89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01B5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语音告警装置</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E3B7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1.名称:语音告警装置</w:t>
            </w:r>
          </w:p>
          <w:p w14:paraId="2C2A0B0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2.规格:列车司机异常行为语音播报，含内部线缆。</w:t>
            </w:r>
          </w:p>
          <w:p w14:paraId="4B7E6F4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52FF4C5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EE6C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6D37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74ED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9ECA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285600.00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A720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2BD8A5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9275B8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 人脸门禁系统主要设备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3F561">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E28C3">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14023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16E4">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343F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71BD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6912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74AE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3</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5BD10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人脸信息录入终端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3FD8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1.名称:人脸信息录入终端</w:t>
            </w:r>
          </w:p>
          <w:p w14:paraId="1631E94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6968B41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D3C5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1BF6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4284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7700.00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5EE7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61600.00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00A6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FA01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3F1B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4</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FA501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人脸读卡器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A27F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1.名称:人脸读卡器</w:t>
            </w:r>
          </w:p>
          <w:p w14:paraId="0B1C139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2.规格:人脸门禁读卡器需支持人脸、刷卡等多种验证方式。设备应满足以下功能要求：</w:t>
            </w:r>
          </w:p>
          <w:p w14:paraId="36E97BD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支持7*24小时不间断运行；支持人脸识别功能；人脸容量：≥50000张；识别时间&lt;1秒；识别距离：0.3~1.5m；显示屏8 英寸，1280*800 像素；视频采集200W 宽动态双目摄像头；人员靠近自动唤醒，唤醒距离为1-3米范围内可调节；内置补光灯，适应光线不足的环境，支持补光灯亮度调节；支持IE设置参数配置、添加管理名单、设备升级、用户权限管理等；工作电压：DC12V±5%，具备稳压、短路及过载保护措施；安装方式：壁挂；支持LED灯指示和声音提示，指示门禁的各种状态，包括：开锁、闭锁、刷卡门禁通过、刷卡门禁拒绝、开门超时报警、非法强行侵入、非法尝试报警等。</w:t>
            </w:r>
          </w:p>
          <w:p w14:paraId="778DF81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6F76DF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4BD0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2A976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936F5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6900.00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724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469200.00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D3FE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3189C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FEAF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CBED3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1CBC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1.名称:交换机</w:t>
            </w:r>
          </w:p>
          <w:p w14:paraId="4C8A20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2.规格:非网管型交换机，8个百兆RJ45电口；不低于IP30；自然冷却,无风扇；工作温度：-10 - 60℃；相对湿度：5～95%无凝露</w:t>
            </w:r>
          </w:p>
          <w:p w14:paraId="1B300B1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6A59D17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2370F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C436E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BAD1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F7173">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CE6256">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甲供，硬件</w:t>
            </w:r>
          </w:p>
        </w:tc>
      </w:tr>
      <w:tr w14:paraId="2B50BB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B6E9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44C6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就地控制器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C614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1.名称:就地控制器</w:t>
            </w:r>
          </w:p>
          <w:p w14:paraId="31C2B51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2.规格:设备主要技术参数如下：（1）可与目前长沙市轨道交通6号线门禁系统兼容；（2）可接受实时同步时钟信号，时钟误差为秒级；（3）可提供 4‐8 个继电器输出，可工作在脉冲触发、连续触发、常开、常闭等多种控制方式；（4）可提供 8‐16 个无源输入点，具有 4 态输入检测（正常、报警、线路短路、线路开路），输入点可工作在瞬时报警、延时报警、输入状态保持延时 3 种状态；（5）电源范围为 170～280VAC，应具有过电流和过电压保护；（6）就地控制器要求有电源开关，方便检修；（7）每个就地控制器可控制 2 个门禁点，还应冗余至少 2 个输入点和 1 个输出点，用于连接其它输入输出应用；（8）内部电源在交流和直流侧都应具有短路保护措施，防止交流电源和负载短路造成设备损坏。接线应采用螺丝紧固端子，确保接线牢固可靠；（9）就地控制器离门信号传输距离应不小于100m，主控制器与就地控制器之间通信传输距离应不小于1200m；（10）在每个就地控制器上加一个总线隔离模块（或采取其他措施），防止出现回路某处门禁点短路，引起整个回路的瘫痪的情况发生；（11）保证每个门的读卡量至少30000张，并可以扩充至60000张；（12）事件缓存器：至少可以记录5000条。3.其他:包括但不限于供货、安装督导、试运行、其他相关验收、培训、质保等工作内容。</w:t>
            </w:r>
          </w:p>
          <w:p w14:paraId="638054D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5867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0D536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2D8A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F550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244800.00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89B6A">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53FD6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61C7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0778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光电转换器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C09E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1.名称:光电转换器</w:t>
            </w:r>
          </w:p>
          <w:p w14:paraId="69FEADF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2.规格:设备主要技术参数如下：1、光电转换器能提供10/100BaseT（X）和100BaseFX（SC/ST接头）之间的光电转换；2、工作温度：支持0℃～60℃；3、外壳防护等级不小于IP30；4、自配交直流电源转换接头。</w:t>
            </w:r>
          </w:p>
          <w:p w14:paraId="6918EA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464B68B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77EC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8E79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F9BBC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3CDAB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68000.00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6CA0E">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2B8EB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A052AC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12.6 智能钥匙柜主要设备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6EF5C591">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531CEEA1">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21ABBC0D">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top"/>
          </w:tcPr>
          <w:p w14:paraId="31006333">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CB0B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EC9B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1831CA4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5C70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93963">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智能钥匙柜</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04F92">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1.名称:智能钥匙柜</w:t>
            </w:r>
          </w:p>
          <w:p w14:paraId="3CA7A898">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2.规格:设备主要技术参数如下：1、单个匙柜管理钥匙数量不少于80个；2、智能钥匙扣内置独有的智能芯片能对所保管的钥匙具有记忆功能；3、安全电门锁: 只有授权用户才能打开，另备后备应急机械门锁；4、内置带灯液晶显示屏可供夜间使用, 另备有字母及数字按钮，以做输入数据之用；5、每根钥匙均被磁力锁锁上, 只有授权用户才能取出；6、提供RS232接口或RS485接口或以太网接口, 可供连接打印机/指纹辨识或计算机或交换机；7、箱体内外均可接驳数据线；支持通过TCP/IP可以远程管理和控制钥匙管理系统8、交还钥匙时, 可随意放回任何空位置, 不会影响系统对钥匙的识别，以做到重要钥匙不用固定位置存放, 安全性更高；9、提供警示: 当钥匙逾期未还, 锁匙被强行取出, 门未关妥, 错误输入或插入无效钥匙时, 系统会发出警报，对于某些特定的警报内容，用户可以自行选择开启或关闭；10、系统具备紧急情况处理方式，分为正常使用以及设备故障的应急办法，以保证在紧急情况下可以提取所有的钥匙； 11、系统自动记录所有的操作信息，主机可储存不少于8000个记录，支持数据自动上传。</w:t>
            </w:r>
          </w:p>
          <w:p w14:paraId="3129BB6A">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3.其他:包括但不限于系统设计、软硬件开发与制造、供货、安装/安装督导、系统及设备的单体调试、系统测试、设备联调、系统调试及试运行、其他相关验收、培训、质保等工作内容。</w:t>
            </w:r>
          </w:p>
          <w:p w14:paraId="646DEC76">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65FE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89B06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C51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48000.00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D68EF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96000.00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8585C">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硬件且包含管理软件</w:t>
            </w:r>
          </w:p>
        </w:tc>
      </w:tr>
      <w:tr w14:paraId="79C29F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FB6A3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8E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光电转换器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AB7F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1.名称:光电转换器</w:t>
            </w:r>
          </w:p>
          <w:p w14:paraId="49EBD3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2.规格:设备主要技术参数如下：1、光电转换器能提供10/100BaseT（X）和100BaseFX（SC/ST接头）之间的光电转换；2、工作温度：支持0℃～60℃；3、外壳防护等级不小于IP30；4、自配交直流电源转换接头。</w:t>
            </w:r>
          </w:p>
          <w:p w14:paraId="2959A91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3726674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573E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BF6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112DA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423C0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4AC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3EC3ED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322A3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 智慧公寓管理系统主要设备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B683F1">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B6595">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DCB8D">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EF966">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B4B2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5419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743FB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4392A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F464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管理工作站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41C2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C406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8D84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764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DD4B7C">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E6926">
            <w:pPr>
              <w:snapToGrid w:val="0"/>
              <w:jc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sz w:val="20"/>
                <w:szCs w:val="20"/>
                <w:u w:val="none"/>
                <w:lang w:val="en-US" w:eastAsia="zh-CN"/>
              </w:rPr>
              <w:t>设备甲供，硬件</w:t>
            </w:r>
          </w:p>
        </w:tc>
      </w:tr>
      <w:tr w14:paraId="10508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CF9B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7F5F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公寓管理显示大屏</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778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1.名称:公寓管理显示大屏</w:t>
            </w:r>
          </w:p>
          <w:p w14:paraId="6EC7A4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2.技术要求：设备主要技术不低于以下要求：尺寸42—50寸；分辨率：不低于1920*1080；四核2G+32G；接口：支持HDMI 1.4以上。</w:t>
            </w:r>
          </w:p>
          <w:p w14:paraId="535484B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18BF62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ED0D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446E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CBABA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2759.26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4986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22074.08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1EFAB">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267EA4E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091F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E2151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智能开关控制器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9C1D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1.名称:智能开关控制器</w:t>
            </w:r>
          </w:p>
          <w:p w14:paraId="3FDBE7E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2.技术要求：支持网络标准 IEEE 802.11n，IEEE 802.11g，IEEE 802.11b；最高传输速率≥450Mbps；天线类型内置天线；状态指示灯，一盏智能信号灯；工作电压DC5V ，工作电流：120ma。具备远程语音唤醒功能。</w:t>
            </w:r>
          </w:p>
          <w:p w14:paraId="402F587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61EA8A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407A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489E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130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E05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0108D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247000.00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9B3F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0915C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A76D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89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智能电子门锁</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ACB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1.名称:智能电子门锁</w:t>
            </w:r>
          </w:p>
          <w:p w14:paraId="4B26D56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2.技术要求：读写方式：非接触式；读卡距离：0-4厘米；读写时间：&lt;0.1秒 ；工作温度：-25-- +65°C；开门时间：按动把手开门一次有效，若不开门6秒内自动上锁；开锁记录：门锁内可储存最新的800条；授权方式：软件管理下传白名单，白名单人数不超过10人；通讯方式：无线通讯；电源使用4节5号电池，应包含在出厂配置中。</w:t>
            </w:r>
          </w:p>
          <w:p w14:paraId="1F6076D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986D2D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0E908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5394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130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5200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3142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130000.00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B944B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325C171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22BF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E524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WIFI 路由器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89B5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1.名称:WiFi路由器</w:t>
            </w:r>
          </w:p>
          <w:p w14:paraId="1E060F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2.技术要求：采用企业级无线路由器；支持网络标准 IEEE802.11b，IEEE802.11g，IEEE802.11n，IEEE802.3，IEEE802.3u；网络协议 TCP/IP协议；最高传输速率 ≥300Mbps；2.4GHz传输速率 ≥300Mbps；5GHz传输速率 ≥867Mbps；网络接口 1个10/100M RJ45 WAN端口。</w:t>
            </w:r>
          </w:p>
          <w:p w14:paraId="5385B65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52EBDF3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C84A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5B89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1CDF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C13E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12800.00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3235F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0ECC3D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07F1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04371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WIFI 中继器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25CE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1.名称:WiFi中继器</w:t>
            </w:r>
          </w:p>
          <w:p w14:paraId="5F26412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2.技术要求：支持网络标准 IEEE 802.11n，IEEE 802.11g，IEEE 802.11b；最高传输速率≥450Mbps；天线类型外置天线；状态指示灯。</w:t>
            </w:r>
          </w:p>
          <w:p w14:paraId="0AB0737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2D5D00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C958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2F4E0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A3EE9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7AC9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66D7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1A0D20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14BE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177C4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KVM 视频发射器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36F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1.名称:KVM视频发射器</w:t>
            </w:r>
          </w:p>
          <w:p w14:paraId="4E53987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2.技术要求：支持协议：包括但不限于HDMI 1.4; HDCP 1.2；HDMI接口带宽：总带宽≥10.2Gbps；视频接口：HDMI-A 接口；标准RJ45接口；电源：DC5V 2A；最大功耗 3W；工作温度：-5℃ ~ +70℃；工作湿度：5% ~ 90%。</w:t>
            </w:r>
          </w:p>
          <w:p w14:paraId="1FA7C61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9AE84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B304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E79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F79DB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E8CA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E6C1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0BEDD3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9C809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E26E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KVM 视频接收器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07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1.名称:KVM视频接收器</w:t>
            </w:r>
          </w:p>
          <w:p w14:paraId="589FE81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2.技术要求：支持协议：包括但不限于HDMI 1.4; HDCP 1.2；HDMI接口带宽：总带宽≥10.2Gbps；视频接口：HDMI-A 接口；标准RJ45接口；电源：DC5V 2A；最大功耗 3W；工作温度：-5℃ ~ +70℃；工作湿度：5% ~ 90%。</w:t>
            </w:r>
          </w:p>
          <w:p w14:paraId="35E75F2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014D708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45261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E3FE5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3F1E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32F5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78D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6E353A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8219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7E7EB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梯控装置</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6F6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1.名称:梯控装置</w:t>
            </w:r>
          </w:p>
          <w:p w14:paraId="32D9809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设备主要技术不低于以下要求：1、可读取长沙穗城轨道交通有限公司员工卡；2、可输出电梯控制信号，控制电梯上行停到指定楼层开门；3、采用全读取方式，即对卡的物理编码和逻辑编码均可以识别，具备防止NFC复制功能；4、装置应是成熟可靠的，可适应24小时不间断运行；5、读写时间≤300ms；读写距离0~100mm；工作电压≤DC12V±5%，应有一定的稳压、短路及过载保护措施；6、应具有较强的防电磁能力，其他电子设备的常规使用应不会对梯控装置造成影响，其电磁兼容性应符合相关标准的要求；7、外壳具有防水、防潮能力，空气湿度在99%下不影响读写的正常使用；8、梯控装置应便于安装、操作和维护；9、应具有反向电压保护功能。</w:t>
            </w:r>
          </w:p>
          <w:p w14:paraId="47EC07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6B365A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9984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1688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8F2D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D16A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6D30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4583C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AAE9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22BBB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3BA0E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1.名称:核心交换机</w:t>
            </w:r>
          </w:p>
          <w:p w14:paraId="61DE85D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2.规格:12口千兆小型企业级交换机，标准RJ45接口，即插即用，无风扇设计。</w:t>
            </w:r>
          </w:p>
          <w:p w14:paraId="72760A3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CC41D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228F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6295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1244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0BF5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0031E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1AF64A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C4A5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92A5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汇聚交换机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DDA0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1.名称:汇聚交换机</w:t>
            </w:r>
          </w:p>
          <w:p w14:paraId="63334BD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2.规格:6口非网管型交换机，标准RJ45接口；防护等级：不低于IP30；散热方式：自然冷却,无风扇；工作温度：-10 - 60℃；相对湿度：5～95%无凝露。</w:t>
            </w:r>
          </w:p>
          <w:p w14:paraId="77643A5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0107F8C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74FC2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20DA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4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00DEC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3761.72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50E72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15046.88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37D0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30EABA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072C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61B8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PDU</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01A4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1.名称:PDU</w:t>
            </w:r>
          </w:p>
          <w:p w14:paraId="1120417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2.规格:工业级，10联单回路，额定电流10A，额定电压250Vac，最大功率2500W。</w:t>
            </w:r>
          </w:p>
          <w:p w14:paraId="52FA13E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02BA92F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3547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1043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41F3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A37E9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77DC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581558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5B66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84FE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WIFI 读卡器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FCDC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1.名称:WiFi读卡器</w:t>
            </w:r>
          </w:p>
          <w:p w14:paraId="6439AA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2.技术要求：支持网络标准：支持IEEE 802.11n，IEEE 802.11g，IEEE 802.11b；最高传输速率：≥450Mbps；天线类型：继电信号：一路，电源：DC12V。</w:t>
            </w:r>
          </w:p>
          <w:p w14:paraId="1F6E6E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3E97F36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BD8FA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D6870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F11D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905A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0575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68983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24FB5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E470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壁挂式机箱</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7FB1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1.名称:壁挂式机箱</w:t>
            </w:r>
          </w:p>
          <w:p w14:paraId="5BBB8E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2.规格:建议规格350X600X450mm</w:t>
            </w:r>
          </w:p>
          <w:p w14:paraId="054F023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3.安装方式:壁装</w:t>
            </w:r>
          </w:p>
          <w:p w14:paraId="226A15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4.其他:包括但不限于供货、安装督导、试运行、其他相关验收、培训、质保等工作内容。</w:t>
            </w:r>
          </w:p>
          <w:p w14:paraId="597F9A4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5.具体详见用户需求书、招标文件、设计图纸等建设单位对本项需求提供的相关技术文件。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B843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ED33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8953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1512.78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C1B55">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3025.56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0EE9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yellow"/>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68FC9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389848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 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49D6">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E98F8">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1304D">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28907">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ED274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D2CA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D883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823C5B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12.8.1 智能运维平台主要设备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7159B">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03FAA">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98152">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DCA7F">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CC01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BF69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419A44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FBEE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2ED889">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便携式维护终端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179D6B">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1.名称:便携式维护终端</w:t>
            </w:r>
          </w:p>
          <w:p w14:paraId="78B08ADB">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2.其他:包括但不限于系统设计、软硬件开发与制造、供货、安装/安装督导、系统及设备的单体调试、系统测试、设备联调、系统调试及试运行、其他相关验收、培训、质保等工作内容。</w:t>
            </w:r>
          </w:p>
          <w:p w14:paraId="6722E5CA">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AF65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A208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9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9A9EE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17701.26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E41F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159311.34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4D65FD">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57E0EC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6B4AAD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12.8.4 电扶梯智能运维主要设备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DD363B">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1A61E">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32969">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B5C71">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624A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679F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45D77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top"/>
          </w:tcPr>
          <w:p w14:paraId="4D3B17F8">
            <w:pPr>
              <w:snapToGrid w:val="0"/>
              <w:jc w:val="center"/>
              <w:rPr>
                <w:rFonts w:hint="eastAsia" w:ascii="宋体" w:hAnsi="宋体" w:eastAsia="宋体" w:cs="宋体"/>
                <w:i w:val="0"/>
                <w:iCs w:val="0"/>
                <w:color w:val="auto"/>
                <w:sz w:val="20"/>
                <w:szCs w:val="20"/>
                <w:u w:val="none"/>
              </w:rPr>
            </w:pP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BD32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电扶梯数据采集</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065F9605">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3BFFC8F2">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03C3C673">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2FAA8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D7F4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0B95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ADC87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C7011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69245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数据采集箱</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82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1.名称:数据采集箱</w:t>
            </w:r>
          </w:p>
          <w:p w14:paraId="40745AE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2.规格:含边缘网关、交换机、电能表、安装底座及至各传感器线缆</w:t>
            </w:r>
          </w:p>
          <w:p w14:paraId="36A568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6DB4B62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FF4B6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E242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80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B81D6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70F0A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1600000.00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A635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C0A7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5E02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8845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单轴压电式传感器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4283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1.名称:单轴压电式传感器</w:t>
            </w:r>
          </w:p>
          <w:p w14:paraId="5C13D59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2.规格:含安装底座</w:t>
            </w:r>
          </w:p>
          <w:p w14:paraId="650F0D3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EC16E9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3211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DF62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600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CD72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C18C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660000.00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7F43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6F7EA5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97FC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4E4D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红外温度传感器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4A3F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1.名称:红外温度传感器</w:t>
            </w:r>
          </w:p>
          <w:p w14:paraId="7ADFC6F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2.规格:含安装底座</w:t>
            </w:r>
          </w:p>
          <w:p w14:paraId="7694267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59FE076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BEA1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6AC8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160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E9E2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9625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352000.00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34E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98511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E866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C2657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汇聚交换机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4D50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1.名称:汇聚交换机</w:t>
            </w:r>
          </w:p>
          <w:p w14:paraId="4026C8D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6224DE3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A073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12443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8490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6247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05D55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67595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97ECAE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12.8.6 供电智能运维主要设备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C488C">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42150">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D0E43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CFD49D">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192B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B8D1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751D1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6B85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9045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前端通信处理机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17A38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1.名称:前端通信处理机</w:t>
            </w:r>
          </w:p>
          <w:p w14:paraId="25FE618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2.规格:含机箱、PDU</w:t>
            </w:r>
          </w:p>
          <w:p w14:paraId="216E185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F1AFEA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B46E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A7F7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36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E35C6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3294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 xml:space="preserve">540000.00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79D8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含机箱、PDU，硬件。</w:t>
            </w:r>
          </w:p>
        </w:tc>
      </w:tr>
      <w:tr w14:paraId="1D304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6947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9AF2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工业交换机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365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1.名称:工业交换机</w:t>
            </w:r>
          </w:p>
          <w:p w14:paraId="3E83B91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223F048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554A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D664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36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D655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2500.00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D9D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85AB1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84773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C0F91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 维修作业管理系统主要设备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FC2DE">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A948C8">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C6A8C">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708B6">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A067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F13C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042BB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0DAB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6CCCE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蓝牙信标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DB3F0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1.名称:蓝牙信标</w:t>
            </w:r>
          </w:p>
          <w:p w14:paraId="2C2D344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2.规格:蓝牙广播，发射蓝牙信号，配合蓝牙工牌使用，覆盖范围在0.5米至10米范围内可调；工作温度 -10~50℃，工作寿命不小于4年。</w:t>
            </w:r>
          </w:p>
          <w:p w14:paraId="4EFE2D3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54A6193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CE78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B71D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6400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3619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9BE8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2D1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EA5FC3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2204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AE2E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蓝牙工牌</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3A24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1.名称:蓝牙工牌</w:t>
            </w:r>
          </w:p>
          <w:p w14:paraId="0F8A74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2.规格:防护等级:IP65及以上；可充电；可链接 WiFi/以太网；LED 电源、连接服务器状态指示；工作温度 -10~50℃；工作湿度 5%~95%RH，无冷凝。</w:t>
            </w:r>
          </w:p>
          <w:p w14:paraId="2E6C57F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9104E5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68046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80BC8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1300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EE5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9267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1FFCB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367C89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F1D11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2A8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基站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0051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1.名称:基站</w:t>
            </w:r>
          </w:p>
          <w:p w14:paraId="1D70946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2.规格:供电方式 DC 5V/1A, POE供电；网络连接 WiFi/以太网；接口 1个10/100M RJ45，1个USB；LED 电源、连接服务器状态指示；工作温度 -10~50℃；工作湿度 5%~95%RH，无冷凝</w:t>
            </w:r>
          </w:p>
          <w:p w14:paraId="5C47892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76BDA08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31A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6EF5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150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65D2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F247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1213E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含充电套装及网关，硬件。</w:t>
            </w:r>
          </w:p>
        </w:tc>
      </w:tr>
      <w:tr w14:paraId="200842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33D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CCC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6CB50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1.名称:交换机</w:t>
            </w:r>
          </w:p>
          <w:p w14:paraId="253D2D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2.规格:非网管型交换机，端口：不小于6个百兆RJ45电口；防护等级：不低于IP30；散热方式：自然冷却,无风扇工作温度：-10 - 60℃；相对湿度：5～95%无凝露。</w:t>
            </w:r>
          </w:p>
          <w:p w14:paraId="1D71350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870992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DA8D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ABD14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150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2B67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1300.00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7C27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109D4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59D53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FB773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12.10 云平台主要设备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2635E">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32D72">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B9289">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160F4">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00F5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B7459">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D3C67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C3E7A9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12.10.1.1 生产网云资源主要设备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C84CF2">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52DB2">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7CA5">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829697">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7B8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896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3669D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515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0DA0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既有大数据平台存储设备扩容</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9BAE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1.名称:既有大数据平台存储设备扩容</w:t>
            </w:r>
          </w:p>
          <w:p w14:paraId="4D62BA9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2.技术要求：既有二控大数据平台数据扩容，需在原有存储设备上增加磁盘空间，20T。</w:t>
            </w:r>
          </w:p>
          <w:p w14:paraId="55F38B0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71C96C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C0E4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59A9F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8555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43778.19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5AB8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43778.19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56F7E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213535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61CB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45F7D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业务应用服务器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8F4A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1.名称:业务应用服务器</w:t>
            </w:r>
          </w:p>
          <w:p w14:paraId="3D9BD3C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7B0A4CB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8D6A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25F3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E7D5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148551.80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202F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297103.60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4E1E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2508CA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68DC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2BFFA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集中存储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89F7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1.名称:集中存储</w:t>
            </w:r>
          </w:p>
          <w:p w14:paraId="4F36EB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2.技术要求：至少配置SSD：4块3.84TBSASSSD，SAS：8块2.4TB10KRPMSAS，NL-SAS：7块8TB7.2KRPMNL_SAS。</w:t>
            </w:r>
          </w:p>
          <w:p w14:paraId="6965BA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786DC2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71E6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E883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65E4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504000.00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0615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2C22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4B9CA2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A3BA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73EB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B55E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1.名称:核心交换机</w:t>
            </w:r>
          </w:p>
          <w:p w14:paraId="78F4A5F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2.规格:云资源业务接入与运维安全区设备接入，以及二控数据中心互联。</w:t>
            </w:r>
          </w:p>
          <w:p w14:paraId="167D66E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3C25CB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5CDB9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FEEB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5BC2A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171677.01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BD601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343354.02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91DC6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403DF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37E3D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8ADC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业务交换机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77B4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1.名称:业务交换机</w:t>
            </w:r>
          </w:p>
          <w:p w14:paraId="4151A5E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2.规格:1、交换容量≥4.3Tbps，包转发率≥1600Mpps；2、固定1/10G SFP+端口≥48，固定40G QSFP+端口≥6，千兆带外管理 ≥1；USB口≥1 用于管理和存储文件； 3、支持跨框链路聚合，要求配对设备有独立控制平面，非堆叠等多虚一技术实现；4、支持SDN，支持VXLAN；5、配置2电源模块，2风扇模块，48个万兆多模光模块，2个40G多模光模块，1条40G虚拟化线缆带光模块。</w:t>
            </w:r>
          </w:p>
          <w:p w14:paraId="1EB69E8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22252B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8F7F3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0C21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EC306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42378.49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AFF2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84756.98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F25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A5E9C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395A4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29C2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57E7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1.名称:防火墙</w:t>
            </w:r>
          </w:p>
          <w:p w14:paraId="4AF297B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0D4EE8B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B434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ECE1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AD7E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24051.90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81D3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48103.80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F383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CFBF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9979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09B7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其他配件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058A0B">
            <w:pPr>
              <w:snapToGrid w:val="0"/>
              <w:jc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F4286">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6DFF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9C30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7DD5D">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ABC4C5">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16E4AE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52C4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B236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机柜</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CCC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1.名称:机柜</w:t>
            </w:r>
          </w:p>
          <w:p w14:paraId="4AF2E9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15ABA96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E3492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9DA9E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458F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10245.84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F9B9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20491.68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43E0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4AF1D2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6EBF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1EC3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10KVAUPS 电池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0683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1.名称:10KVAUPS电池</w:t>
            </w:r>
          </w:p>
          <w:p w14:paraId="2D3F9C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2.规格:10KW容量配置，后备时间1小时。</w:t>
            </w:r>
          </w:p>
          <w:p w14:paraId="6238670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65294E7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3F6D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3E67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0D03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26867.66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5338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26867.66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E494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57828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C751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10.3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7671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配电柜</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C6E5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076C7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A229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E83B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B4EBB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DF79D">
            <w:pPr>
              <w:snapToGrid w:val="0"/>
              <w:jc w:val="center"/>
              <w:rPr>
                <w:rFonts w:hint="eastAsia" w:ascii="宋体" w:hAnsi="宋体" w:eastAsia="宋体" w:cs="宋体"/>
                <w:b w:val="0"/>
                <w:bCs w:val="0"/>
                <w:i w:val="0"/>
                <w:iCs w:val="0"/>
                <w:color w:val="auto"/>
                <w:sz w:val="20"/>
                <w:szCs w:val="20"/>
                <w:highlight w:val="none"/>
                <w:u w:val="none"/>
                <w:lang w:val="en-US" w:eastAsia="zh-CN"/>
              </w:rPr>
            </w:pPr>
            <w:r>
              <w:rPr>
                <w:rFonts w:hint="eastAsia" w:ascii="宋体" w:hAnsi="宋体" w:eastAsia="宋体" w:cs="宋体"/>
                <w:b w:val="0"/>
                <w:bCs w:val="0"/>
                <w:i w:val="0"/>
                <w:iCs w:val="0"/>
                <w:color w:val="auto"/>
                <w:sz w:val="20"/>
                <w:szCs w:val="20"/>
                <w:highlight w:val="none"/>
                <w:u w:val="none"/>
                <w:lang w:val="en-US" w:eastAsia="zh-CN"/>
              </w:rPr>
              <w:t>甲供</w:t>
            </w:r>
          </w:p>
          <w:p w14:paraId="1A4E6A13">
            <w:pPr>
              <w:snapToGrid w:val="0"/>
              <w:jc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632EC85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586E">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10.4</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88B0C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配电箱</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A42A9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1.名称:配电箱</w:t>
            </w:r>
          </w:p>
          <w:p w14:paraId="464DFC3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0B89467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86C1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BBDAE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AB7F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9674.66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03C7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9674.66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22DB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5CC3B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BE303">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fldChar w:fldCharType="begin"/>
            </w:r>
            <w:r>
              <w:rPr>
                <w:rFonts w:hint="eastAsia" w:ascii="宋体" w:hAnsi="宋体" w:eastAsia="宋体" w:cs="宋体"/>
                <w:b w:val="0"/>
                <w:bCs w:val="0"/>
                <w:i w:val="0"/>
                <w:iCs w:val="0"/>
                <w:color w:val="auto"/>
                <w:kern w:val="0"/>
                <w:sz w:val="20"/>
                <w:szCs w:val="20"/>
                <w:u w:val="none"/>
                <w:lang w:val="en-US" w:eastAsia="zh-CN" w:bidi="ar"/>
              </w:rPr>
              <w:instrText xml:space="preserve"> HYPERLINK "12.10.1.2" </w:instrText>
            </w:r>
            <w:r>
              <w:rPr>
                <w:rFonts w:hint="eastAsia" w:ascii="宋体" w:hAnsi="宋体" w:eastAsia="宋体" w:cs="宋体"/>
                <w:b w:val="0"/>
                <w:bCs w:val="0"/>
                <w:i w:val="0"/>
                <w:iCs w:val="0"/>
                <w:color w:val="auto"/>
                <w:kern w:val="0"/>
                <w:sz w:val="20"/>
                <w:szCs w:val="20"/>
                <w:u w:val="none"/>
                <w:lang w:val="en-US" w:eastAsia="zh-CN" w:bidi="ar"/>
              </w:rPr>
              <w:fldChar w:fldCharType="separate"/>
            </w:r>
            <w:r>
              <w:rPr>
                <w:rFonts w:hint="eastAsia" w:ascii="宋体" w:hAnsi="宋体" w:eastAsia="宋体" w:cs="宋体"/>
                <w:b w:val="0"/>
                <w:bCs w:val="0"/>
                <w:i w:val="0"/>
                <w:iCs w:val="0"/>
                <w:color w:val="auto"/>
                <w:kern w:val="0"/>
                <w:sz w:val="20"/>
                <w:szCs w:val="20"/>
                <w:u w:val="none"/>
                <w:lang w:val="en-US" w:eastAsia="zh-CN" w:bidi="ar"/>
              </w:rPr>
              <w:t xml:space="preserve">12.10.1.2 </w:t>
            </w:r>
            <w:r>
              <w:rPr>
                <w:rStyle w:val="4"/>
                <w:rFonts w:hint="eastAsia" w:ascii="宋体" w:hAnsi="宋体" w:eastAsia="宋体" w:cs="宋体"/>
                <w:b w:val="0"/>
                <w:bCs w:val="0"/>
                <w:i w:val="0"/>
                <w:iCs w:val="0"/>
                <w:color w:val="auto"/>
                <w:sz w:val="20"/>
                <w:szCs w:val="20"/>
                <w:u w:val="none"/>
              </w:rPr>
              <w:t>GBIM管理网云资源主要设备</w:t>
            </w:r>
            <w:r>
              <w:rPr>
                <w:rFonts w:hint="eastAsia" w:ascii="宋体" w:hAnsi="宋体" w:eastAsia="宋体" w:cs="宋体"/>
                <w:b w:val="0"/>
                <w:bCs w:val="0"/>
                <w:i w:val="0"/>
                <w:iCs w:val="0"/>
                <w:color w:val="auto"/>
                <w:kern w:val="0"/>
                <w:sz w:val="20"/>
                <w:szCs w:val="20"/>
                <w:u w:val="none"/>
                <w:lang w:val="en-US" w:eastAsia="zh-CN" w:bidi="ar"/>
              </w:rPr>
              <w:fldChar w:fldCharType="end"/>
            </w:r>
            <w:r>
              <w:rPr>
                <w:rFonts w:hint="eastAsia" w:ascii="宋体" w:hAnsi="宋体" w:eastAsia="宋体" w:cs="宋体"/>
                <w:b w:val="0"/>
                <w:bCs w:val="0"/>
                <w:i w:val="0"/>
                <w:iCs w:val="0"/>
                <w:color w:val="auto"/>
                <w:kern w:val="0"/>
                <w:sz w:val="20"/>
                <w:szCs w:val="20"/>
                <w:u w:val="none"/>
                <w:lang w:val="en-US" w:eastAsia="zh-CN" w:bidi="ar"/>
              </w:rPr>
              <w:t>（含集成实施服务）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4371E">
            <w:pPr>
              <w:snapToGrid w:val="0"/>
              <w:jc w:val="left"/>
              <w:rPr>
                <w:rFonts w:hint="eastAsia" w:ascii="宋体" w:hAnsi="宋体" w:eastAsia="宋体" w:cs="宋体"/>
                <w:b w:val="0"/>
                <w:bCs w:val="0"/>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7E29F">
            <w:pPr>
              <w:snapToGrid w:val="0"/>
              <w:jc w:val="center"/>
              <w:rPr>
                <w:rFonts w:hint="eastAsia" w:ascii="宋体" w:hAnsi="宋体" w:eastAsia="宋体" w:cs="宋体"/>
                <w:b w:val="0"/>
                <w:bCs w:val="0"/>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28F4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8043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AEA2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4BCFB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DC5E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2B8499">
            <w:pPr>
              <w:keepNext w:val="0"/>
              <w:keepLines w:val="0"/>
              <w:widowControl/>
              <w:suppressLineNumbers w:val="0"/>
              <w:snapToGrid w:val="0"/>
              <w:jc w:val="center"/>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E1238">
            <w:pPr>
              <w:keepNext w:val="0"/>
              <w:keepLines w:val="0"/>
              <w:widowControl/>
              <w:suppressLineNumbers w:val="0"/>
              <w:snapToGrid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kern w:val="0"/>
                <w:sz w:val="20"/>
                <w:szCs w:val="20"/>
                <w:u w:val="none"/>
                <w:lang w:val="en-US" w:eastAsia="zh-CN" w:bidi="ar"/>
              </w:rPr>
              <w:t>云业务服务器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9021">
            <w:pPr>
              <w:keepNext w:val="0"/>
              <w:keepLines w:val="0"/>
              <w:widowControl/>
              <w:suppressLineNumbers w:val="0"/>
              <w:snapToGrid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sz w:val="20"/>
                <w:szCs w:val="20"/>
                <w:u w:val="none"/>
              </w:rPr>
              <w:t>1.名称:云业务服务器</w:t>
            </w:r>
          </w:p>
          <w:p w14:paraId="34D010EE">
            <w:pPr>
              <w:keepNext w:val="0"/>
              <w:keepLines w:val="0"/>
              <w:widowControl/>
              <w:suppressLineNumbers w:val="0"/>
              <w:snapToGrid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sz w:val="20"/>
                <w:szCs w:val="20"/>
                <w:u w:val="none"/>
              </w:rPr>
              <w:t>2.技术要求：1.基本规格：2U机架式，含上架导轨；2.处理器：配置2颗Intel Xeon  Gold 6530（2.1GHz/32C/160MB）及以上规格处理器；3.内存：配置24*64GB 4800MHz DDR5内存，配置≥32个DDR5内存插槽，支持高级内存纠错、内存镜像、内存热备等高级功能；4.硬盘：配置2块960GB SSD硬盘，1块3.84T NVMe SSD硬盘；5.阵列卡：配置1块2G缓存高性能八通道RAID卡，支持raid0/1/5/50/6/60等主流磁盘阵列模式；6.网络：配置1块4端口千兆电口网卡，配置1块双端口万兆以太网卡（满配万兆多模光模块）；7.HBA卡：配置1块双口16G HBA卡（满配16G多模光模块）或以上规格；8.管理：配置1个1Gb独立的远程管理控制端口（含永久授权）；配置虚拟KVM功能,可实现与操作系统无关的远程对服务器的完全控制，包括远程的开机、关机、重启、更新Firmware、虚拟光驱、虚拟文件夹等操作；9.电源：至少包含两个电源模块；10.服务：2年原厂或原厂授权质保服务。</w:t>
            </w:r>
          </w:p>
          <w:p w14:paraId="213C5CD1">
            <w:pPr>
              <w:keepNext w:val="0"/>
              <w:keepLines w:val="0"/>
              <w:widowControl/>
              <w:suppressLineNumbers w:val="0"/>
              <w:snapToGrid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sz w:val="20"/>
                <w:szCs w:val="20"/>
                <w:u w:val="none"/>
              </w:rPr>
              <w:t>3.其他:包括但不限于供货、安装督导、试运行、其他相关验收、培训、质保等工作内容。</w:t>
            </w:r>
          </w:p>
          <w:p w14:paraId="3EEA4887">
            <w:pPr>
              <w:keepNext w:val="0"/>
              <w:keepLines w:val="0"/>
              <w:widowControl/>
              <w:suppressLineNumbers w:val="0"/>
              <w:snapToGrid w:val="0"/>
              <w:jc w:val="left"/>
              <w:textAlignment w:val="center"/>
              <w:rPr>
                <w:rFonts w:hint="eastAsia" w:ascii="宋体" w:hAnsi="宋体" w:eastAsia="宋体" w:cs="宋体"/>
                <w:b w:val="0"/>
                <w:bCs w:val="0"/>
                <w:i w:val="0"/>
                <w:iCs w:val="0"/>
                <w:color w:val="auto"/>
                <w:sz w:val="20"/>
                <w:szCs w:val="20"/>
                <w:u w:val="none"/>
              </w:rPr>
            </w:pPr>
            <w:r>
              <w:rPr>
                <w:rFonts w:hint="eastAsia" w:ascii="宋体" w:hAnsi="宋体" w:eastAsia="宋体" w:cs="宋体"/>
                <w:b w:val="0"/>
                <w:bCs w:val="0"/>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A3A4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407C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8B40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98400.00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E557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787200.00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8DAD7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F01FCE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E885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AADB5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光纤接入交换机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9487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1.名称:光纤接入交换机</w:t>
            </w:r>
          </w:p>
          <w:p w14:paraId="7209AAA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4DF38F2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EF5BE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9A2C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BA84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24426.15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478E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48852.30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D0FC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0E3939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763F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9031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GPU 服务器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22E5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1.名称:GPU服务器</w:t>
            </w:r>
          </w:p>
          <w:p w14:paraId="4B0BE7C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2.技术要求：1.cpu：不少于4颗处理器，单颗主频不少于2.6GHZ，核心数不小于48核；2.内存：不小于512GBDDR4内存；3.硬盘：2*960GB SSD，2*7.68TB NVMe SSD或以上规格；4.阵列卡：配置1块1G缓存高性能八通道RAID卡，支持raid0/1/5/50/6/60等主流磁盘阵列模式；5.GPU：需配备支持推理与视觉的专业显卡，单卡显存≥40GB，总显存≥512GB，总并发≥24，FP32单精度算力≥32 TFLOPS，INT8算力&gt;190 TOPS；6.网络：千兆端口≥4，万兆端口≥2，及相应光模块；7.管理：配置1个1Gb独立的远程管理控制端口（含永久授权）：支持虚拟KVM功能,括远程的开机、关机、重启、更新Firmware、虚拟光驱、虚拟文件夹等操作；8.电源：至少包含两个电源模块；9.服务：2年原厂或原厂授权质保服务。</w:t>
            </w:r>
          </w:p>
          <w:p w14:paraId="41860AE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4D32A04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3316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85F4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3772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2083292.25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B00E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2083292.25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28EB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40CD4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F283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585D8">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kern w:val="0"/>
                <w:sz w:val="20"/>
                <w:szCs w:val="20"/>
                <w:highlight w:val="none"/>
                <w:u w:val="none"/>
                <w:lang w:val="en-US" w:eastAsia="zh-CN" w:bidi="ar"/>
              </w:rPr>
              <w:t>云管理服务器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2AABE1">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1.名称：云管理服务器</w:t>
            </w:r>
          </w:p>
          <w:p w14:paraId="3883F6EF">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2.技术要求：1.基本规格：2U机架式，含上架导轨；2.处理器：配置2颗Intel Xeon 4514Y（2.0GHz/16C/30MB）及以上规格处理器；3.内存：配置256GB 5600MHz DDR5内存，配置≥32个DDR5内存插槽，支持高级内存纠错、内存镜像、内存热备等高级功能；4.硬盘：配置2块960GB SSD硬盘，配置4块4TB 7.2K RPM SATA数据盘；5.阵列卡：配置1块2G缓存高性能八通道RAID卡，支持raid0/1/5/6；6.网络：配置1块4端口千兆电口网卡，配置≥2块双端口万兆以太网卡（满配万兆多模光模块）；7.HBA卡：配置1块双口16G HBA卡（满配16G多模光模块）；8.管理：配置1个1Gb独立的远程管理控制端口（含永久授权）；配置虚拟KVM功能,可实现与操作系统无关的远程对服务器的完全控制，包括远程的开机、关机、重启、更新Firmware、虚拟光驱、虚拟文件夹等操作。</w:t>
            </w:r>
          </w:p>
          <w:p w14:paraId="736FCF7D">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3.其他:包括但不限于供货、安装督导、试运行、其他相关验收、培训、质保等工作内容。</w:t>
            </w:r>
          </w:p>
          <w:p w14:paraId="3BC6110A">
            <w:pPr>
              <w:keepNext w:val="0"/>
              <w:keepLines w:val="0"/>
              <w:widowControl/>
              <w:suppressLineNumbers w:val="0"/>
              <w:snapToGrid w:val="0"/>
              <w:jc w:val="left"/>
              <w:textAlignment w:val="center"/>
              <w:rPr>
                <w:rFonts w:hint="eastAsia" w:ascii="宋体" w:hAnsi="宋体" w:eastAsia="宋体" w:cs="宋体"/>
                <w:i w:val="0"/>
                <w:iCs w:val="0"/>
                <w:color w:val="auto"/>
                <w:sz w:val="20"/>
                <w:szCs w:val="20"/>
                <w:highlight w:val="none"/>
                <w:u w:val="none"/>
              </w:rPr>
            </w:pPr>
            <w:r>
              <w:rPr>
                <w:rFonts w:hint="eastAsia" w:ascii="宋体" w:hAnsi="宋体" w:eastAsia="宋体" w:cs="宋体"/>
                <w:i w:val="0"/>
                <w:iCs w:val="0"/>
                <w:color w:val="auto"/>
                <w:sz w:val="20"/>
                <w:szCs w:val="20"/>
                <w:highlight w:val="none"/>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85A92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4746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highlight w:val="none"/>
                <w:u w:val="none"/>
                <w:lang w:val="en-US" w:eastAsia="zh-CN" w:bidi="ar-SA"/>
              </w:rPr>
            </w:pPr>
            <w:r>
              <w:rPr>
                <w:rFonts w:hint="eastAsia" w:ascii="宋体" w:hAnsi="宋体" w:eastAsia="宋体" w:cs="宋体"/>
                <w:i w:val="0"/>
                <w:iCs w:val="0"/>
                <w:color w:val="auto"/>
                <w:kern w:val="0"/>
                <w:sz w:val="20"/>
                <w:szCs w:val="20"/>
                <w:highlight w:val="none"/>
                <w:u w:val="none"/>
                <w:lang w:val="en-US" w:eastAsia="zh-CN" w:bidi="ar"/>
              </w:rPr>
              <w:t xml:space="preserve">3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55324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78000.00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00FC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highlight w:val="none"/>
                <w:u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 xml:space="preserve">234000.00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1CF1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硬件含对应软件。</w:t>
            </w:r>
          </w:p>
        </w:tc>
      </w:tr>
      <w:tr w14:paraId="6FAF9C9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A9A0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AAC8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云管理交换机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DE48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1.名称:云管理交换机</w:t>
            </w:r>
          </w:p>
          <w:p w14:paraId="42E0933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2.规格:1、交换容量432Gbps，包转发率166Mpps；2、48个千兆电接口，支持4个万兆光端口；3、三层功能：支持IPv4静态路由，RIPv1&amp;v2，OSPFv2， ECMP，ICMP、策略路由， VRF ;4、可靠性：实现跨设备间的链路聚合；5、配置4个万兆多模光模块。</w:t>
            </w:r>
          </w:p>
          <w:p w14:paraId="77C83A4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0A6671C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EC3E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69EB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3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601D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5810.13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76B5E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17430.39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E03A8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42648B3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77A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F4CF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存储资源区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674DEE0A">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7ADD2202">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5C57BA89">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0668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10DC1">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B536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5F833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4E428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9ACDE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光纤交换机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B1CF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1.名称:光纤交换机</w:t>
            </w:r>
          </w:p>
          <w:p w14:paraId="11457DF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72D824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424A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F906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5A9C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156000.00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175C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312000.00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BF0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047364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BC4F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6F23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集中存储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52C77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1.名称:集中存储</w:t>
            </w:r>
          </w:p>
          <w:p w14:paraId="2E68D22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1.机型：标准机架式设备，盘控一体，含上架导轨；2.控制器：标配≥2个控制器，可扩展到≥16控，标配BBU+Flash，双热插拔电源；3.系统缓存：双控配置≥512GB高速缓存（纯硬件缓存，非SSD、非高速Flash充当缓存或者非PC服务器内存）；4.主机接口：每控≥3个I/O接口槽，配置8个千兆电和8个16Gb主机接口；5.硬盘：支持SSD、SAS、NL_SAS硬盘，至少配置48块2.4TB 10K RPM SAS硬盘，实际可利用存储容量≥80T，单磁盘≥8T；支持硬盘混插，数据在线迁移功能。6.功能授权：配置自动精简、快照、克隆、卷备份、卷镜像、QoS等功能授权；支持存储虚拟化、SSD缓存加速等功能扩展；7.配置BBU电池保护模组，保证掉电时Cache数据可安全写入Flash或硬盘永久保存。8.支持图形化界面管理，支持硬盘混插，支持硬盘之间动态迁移数据。</w:t>
            </w:r>
          </w:p>
          <w:p w14:paraId="37FCCDD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7DDACDB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4CB2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672E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AAFBC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688155.80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A85E4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688155.80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80A2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06253F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A3148">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6.3</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BC47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备份一体机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BDEA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1.名称:备份一体机</w:t>
            </w:r>
          </w:p>
          <w:p w14:paraId="7AB6E23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2.技术要求：1.至少需支持32 Gbps FC端口；2.备份存储容量≥60T，含全功能、全容量备份许可；3.支持对操作系统的在线完全及增量备份，支持原机及异机进行恢复；4.支持对SQLServer、Oracle、MySQL、达梦等主流应用进行在线备份保护；5.支持VMWare、Hyper-V、KVM、RHEV等主流虚拟化平台备份，支持Openstcak、H3C等主流云平台备份；6.支持数据压缩与去重功能；7.支持图形化界面管理；8.支持存储扩容，并预留扩容磁盘位（同规格磁盘情况下至少可扩容当前容量的50%）。9.配置≥2 颗英特尔至强处理器，单颗处理器≥2.1GHz，核</w:t>
            </w:r>
          </w:p>
          <w:p w14:paraId="3234607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心数≥12；10.配置≥64GB 内存，配置≥12 块 8TB SATA 7.2K 硬盘；配置 11 块 240G SSD 独立系统盘；12.配置 1 块 1G 缓存 SAS RAID 卡，支持 RAID0、1、5、6；13.配置千兆电网络接口≥2 个，万兆光纤网络接口≥2 个（含多模光模块），配置冗余铂金电源。</w:t>
            </w:r>
          </w:p>
          <w:p w14:paraId="68CDA01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4E8133B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85DE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33A82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B7BA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350000.00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F316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350000.00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05DB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5159D9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6196E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EFF2F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核心交换机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4AB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1.名称:核心交换机</w:t>
            </w:r>
          </w:p>
          <w:p w14:paraId="3685E21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697BEC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EAD47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966B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4D6D1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171466.61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304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342933.22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5B3FC0">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硬件</w:t>
            </w:r>
          </w:p>
        </w:tc>
      </w:tr>
      <w:tr w14:paraId="2EAAF9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3AF5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D98B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信息安全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3767CF46">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7CE39FB1">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584CF30A">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6BF05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F370">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4193E">
            <w:pPr>
              <w:snapToGrid w:val="0"/>
              <w:jc w:val="center"/>
              <w:rPr>
                <w:rFonts w:hint="default" w:ascii="宋体" w:hAnsi="宋体" w:eastAsia="宋体" w:cs="宋体"/>
                <w:b w:val="0"/>
                <w:bCs w:val="0"/>
                <w:i w:val="0"/>
                <w:iCs w:val="0"/>
                <w:color w:val="auto"/>
                <w:kern w:val="2"/>
                <w:sz w:val="20"/>
                <w:szCs w:val="20"/>
                <w:u w:val="none"/>
                <w:lang w:val="en-US" w:eastAsia="zh-CN" w:bidi="ar-SA"/>
              </w:rPr>
            </w:pPr>
          </w:p>
        </w:tc>
      </w:tr>
      <w:tr w14:paraId="6BC7F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EDFA9">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8.5</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C7590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防火墙</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56586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1.名称:防火墙</w:t>
            </w:r>
          </w:p>
          <w:p w14:paraId="38671AC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网络层吞吐量20G，并发连接≥700万，每秒新建连接数25万；标准≤2U机箱，冗余电源；板载8个千兆电口，8个千兆光口，6个万兆光口，2个扩展插槽，1个Console口，；含三年硬件维保服务。默认含32个IPsec VPN标配并发隧道数，最大可支持并发隧道数10000个；默认含32个SSL VPN标配并发用户数，最大可支持并发用户数2000个；支持应用控制功能、URL过滤功能、病毒防护功能、入侵防御功能、威胁情报检测功能。应包含3年安全组合升级订阅服务包（含应用识别库、URL分类特征库、病毒防护特征库、入侵防御特征库升级服务及威胁情报订阅服务）。</w:t>
            </w:r>
          </w:p>
          <w:p w14:paraId="4F198EB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B469F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ADBCF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C1C7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681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40207.72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CD84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80415.44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59F5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6CC9511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EA6E8">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8.6</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AB7F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日志审计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AC0E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1.名称:日志审计</w:t>
            </w:r>
          </w:p>
          <w:p w14:paraId="4E1B81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包含资产管理、日志采集、日志归一化、日志存储、日志查询、实时分析、关联分析、关联告警、统计报表功能。支持日志压缩存储、日志分类功能。1000个日志源永久授权，包含3年软件升级维护服务。支持多维度日志分析：网络安全分析、会话及NAT溯源分析、流量分析等。</w:t>
            </w:r>
          </w:p>
          <w:p w14:paraId="206F36A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E94D70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B1112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7CB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4B3B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36120.59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EF63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36120.59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2AD2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41E1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B84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B5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势态感知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88A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1.名称:态势感知</w:t>
            </w:r>
          </w:p>
          <w:p w14:paraId="74257BE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761C5A3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A0234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4034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E2C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88733.98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BC58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88733.98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346F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253E2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A806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5EA9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探针</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1B745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1.名称:探针</w:t>
            </w:r>
          </w:p>
          <w:p w14:paraId="4C4DCBA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267A57D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1973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D88C5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66EEB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45334.58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89ADE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45334.58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51DE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7F4778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EA952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FE5DA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集成实施服务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008A1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AF4E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698C9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71CA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F3265">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5C533E">
            <w:pPr>
              <w:snapToGrid w:val="0"/>
              <w:jc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2"/>
                <w:sz w:val="20"/>
                <w:szCs w:val="20"/>
                <w:u w:val="none"/>
                <w:lang w:val="en-US" w:eastAsia="zh-CN" w:bidi="ar-SA"/>
              </w:rPr>
              <w:t>已包含在其他项目价格内</w:t>
            </w:r>
          </w:p>
        </w:tc>
      </w:tr>
      <w:tr w14:paraId="37DF9E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349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B507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柜体</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88A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1.名称:柜体</w:t>
            </w:r>
          </w:p>
          <w:p w14:paraId="6F015AA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11ABC02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CBDD5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A2CCD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6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F4C6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4387.61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48663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26325.66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153A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18F2BC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7DA13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736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25KVAUPS 电池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056BE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1.名称:25KVAUPS电池</w:t>
            </w:r>
          </w:p>
          <w:p w14:paraId="0DE0D9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2.其他:包括但不限于供货、安装督导、试运行、其他相关验收、培训、质保等工作内容。</w:t>
            </w:r>
          </w:p>
          <w:p w14:paraId="4183217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9129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BC77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A544A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23824.22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87C35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23824.22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5499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硬件</w:t>
            </w:r>
          </w:p>
        </w:tc>
      </w:tr>
      <w:tr w14:paraId="093FDD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9181C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6AE3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配电柜</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95B0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A5297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7E7F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94D8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43982">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EDA41">
            <w:pPr>
              <w:snapToGrid w:val="0"/>
              <w:jc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sz w:val="20"/>
                <w:szCs w:val="20"/>
                <w:u w:val="none"/>
                <w:lang w:val="en-US" w:eastAsia="zh-CN"/>
              </w:rPr>
              <w:t>硬件，甲供</w:t>
            </w:r>
          </w:p>
        </w:tc>
      </w:tr>
      <w:tr w14:paraId="2F73E8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3489D03">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合   价</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9ADD5">
            <w:pPr>
              <w:snapToGrid w:val="0"/>
              <w:jc w:val="left"/>
              <w:rPr>
                <w:rFonts w:hint="eastAsia" w:ascii="宋体" w:hAnsi="宋体" w:eastAsia="宋体" w:cs="宋体"/>
                <w:b/>
                <w:bCs/>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5E57AF">
            <w:pPr>
              <w:snapToGrid w:val="0"/>
              <w:jc w:val="center"/>
              <w:rPr>
                <w:rFonts w:hint="eastAsia" w:ascii="宋体" w:hAnsi="宋体" w:eastAsia="宋体" w:cs="宋体"/>
                <w:b/>
                <w:bCs/>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C83EC">
            <w:pPr>
              <w:snapToGrid w:val="0"/>
              <w:jc w:val="center"/>
              <w:rPr>
                <w:rFonts w:hint="eastAsia" w:ascii="宋体" w:hAnsi="宋体" w:eastAsia="宋体" w:cs="宋体"/>
                <w:b/>
                <w:bCs/>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6567E">
            <w:pPr>
              <w:snapToGrid w:val="0"/>
              <w:jc w:val="center"/>
              <w:rPr>
                <w:rFonts w:hint="eastAsia" w:ascii="宋体" w:hAnsi="宋体" w:eastAsia="宋体" w:cs="宋体"/>
                <w:b/>
                <w:bCs/>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E5C82">
            <w:pPr>
              <w:snapToGrid w:val="0"/>
              <w:jc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18339640.76</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7DD19">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p>
        </w:tc>
      </w:tr>
    </w:tbl>
    <w:p w14:paraId="77EF0502"/>
    <w:p w14:paraId="57320F67">
      <w:pPr>
        <w:rPr>
          <w:rFonts w:hint="eastAsia"/>
          <w:lang w:val="en-US" w:eastAsia="zh-CN"/>
        </w:rPr>
      </w:pPr>
      <w:r>
        <w:rPr>
          <w:rFonts w:hint="eastAsia"/>
          <w:lang w:val="en-US" w:eastAsia="zh-CN"/>
        </w:rPr>
        <w:t>注：</w:t>
      </w:r>
    </w:p>
    <w:p w14:paraId="49DF8D4C">
      <w:pPr>
        <w:rPr>
          <w:rFonts w:hint="eastAsia"/>
          <w:lang w:val="en-US" w:eastAsia="zh-CN"/>
        </w:rPr>
      </w:pPr>
      <w:r>
        <w:rPr>
          <w:rFonts w:hint="eastAsia"/>
          <w:lang w:val="en-US" w:eastAsia="zh-CN"/>
        </w:rPr>
        <w:t>1.以上费用包含但不限于设计联络、系统设计、软硬件开发与制造、运输、保险、供货、二次搬运、安装/安装督导、系统及设备的单体调试、系统测试、设备联调、系统调试及试运行、其他相关验收、培训、质保等工作内容以及利润、税金、项目管理等全部费用。</w:t>
      </w:r>
    </w:p>
    <w:p w14:paraId="5E548773">
      <w:pPr>
        <w:rPr>
          <w:rFonts w:hint="eastAsia"/>
          <w:lang w:val="en-US" w:eastAsia="zh-CN"/>
        </w:rPr>
      </w:pPr>
      <w:r>
        <w:rPr>
          <w:rFonts w:hint="eastAsia"/>
          <w:lang w:val="en-US" w:eastAsia="zh-CN"/>
        </w:rPr>
        <w:t>2.具体详见用户需求书、招标文件、设计图纸等建设单位对本项需求提供的相关技术文件。</w:t>
      </w:r>
    </w:p>
    <w:p w14:paraId="04FDC45D">
      <w:pPr>
        <w:rPr>
          <w:rFonts w:hint="default"/>
          <w:lang w:val="en-US" w:eastAsia="zh-CN"/>
        </w:rPr>
      </w:pPr>
      <w:r>
        <w:rPr>
          <w:rFonts w:hint="eastAsia"/>
          <w:lang w:val="en-US" w:eastAsia="zh-CN"/>
        </w:rPr>
        <w:t>3.控制价公示表序号对应用户需求书设备清单表编号。</w:t>
      </w:r>
    </w:p>
    <w:p w14:paraId="38793302">
      <w:pPr>
        <w:rPr>
          <w:rFonts w:hint="eastAsia"/>
          <w:lang w:val="en-US" w:eastAsia="zh-CN"/>
        </w:rPr>
      </w:pPr>
    </w:p>
    <w:p w14:paraId="32FAE6F6">
      <w:pPr>
        <w:rPr>
          <w:rFonts w:hint="eastAsia"/>
          <w:lang w:val="en-US" w:eastAsia="zh-CN"/>
        </w:rPr>
      </w:pPr>
    </w:p>
    <w:tbl>
      <w:tblPr>
        <w:tblStyle w:val="2"/>
        <w:tblW w:w="14101"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32" w:type="dxa"/>
          <w:left w:w="64" w:type="dxa"/>
          <w:bottom w:w="32" w:type="dxa"/>
          <w:right w:w="64" w:type="dxa"/>
        </w:tblCellMar>
      </w:tblPr>
      <w:tblGrid>
        <w:gridCol w:w="599"/>
        <w:gridCol w:w="2290"/>
        <w:gridCol w:w="5790"/>
        <w:gridCol w:w="615"/>
        <w:gridCol w:w="720"/>
        <w:gridCol w:w="1320"/>
        <w:gridCol w:w="1395"/>
        <w:gridCol w:w="1372"/>
      </w:tblGrid>
      <w:tr w14:paraId="13BCB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889" w:type="dxa"/>
            <w:gridSpan w:val="2"/>
            <w:tcBorders>
              <w:top w:val="nil"/>
              <w:left w:val="nil"/>
              <w:bottom w:val="nil"/>
              <w:right w:val="nil"/>
            </w:tcBorders>
            <w:shd w:val="clear" w:color="auto" w:fill="auto"/>
            <w:vAlign w:val="top"/>
          </w:tcPr>
          <w:p w14:paraId="3F6DE248">
            <w:pPr>
              <w:snapToGrid w:val="0"/>
              <w:jc w:val="left"/>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16"/>
                <w:szCs w:val="16"/>
                <w:u w:val="none"/>
                <w:lang w:val="en-US" w:eastAsia="zh-CN" w:bidi="ar"/>
              </w:rPr>
              <w:t>附表2</w:t>
            </w:r>
          </w:p>
        </w:tc>
        <w:tc>
          <w:tcPr>
            <w:tcW w:w="5790" w:type="dxa"/>
            <w:tcBorders>
              <w:top w:val="nil"/>
              <w:left w:val="nil"/>
              <w:bottom w:val="nil"/>
              <w:right w:val="nil"/>
            </w:tcBorders>
            <w:shd w:val="clear" w:color="auto" w:fill="auto"/>
            <w:vAlign w:val="top"/>
          </w:tcPr>
          <w:p w14:paraId="63F3A8D0">
            <w:pPr>
              <w:snapToGrid w:val="0"/>
              <w:jc w:val="center"/>
              <w:rPr>
                <w:rFonts w:hint="eastAsia" w:ascii="宋体" w:hAnsi="宋体" w:eastAsia="宋体" w:cs="宋体"/>
                <w:i w:val="0"/>
                <w:iCs w:val="0"/>
                <w:color w:val="auto"/>
                <w:sz w:val="20"/>
                <w:szCs w:val="20"/>
                <w:u w:val="none"/>
              </w:rPr>
            </w:pPr>
          </w:p>
        </w:tc>
        <w:tc>
          <w:tcPr>
            <w:tcW w:w="615" w:type="dxa"/>
            <w:tcBorders>
              <w:top w:val="nil"/>
              <w:left w:val="nil"/>
              <w:bottom w:val="nil"/>
              <w:right w:val="nil"/>
            </w:tcBorders>
            <w:shd w:val="clear" w:color="auto" w:fill="auto"/>
            <w:vAlign w:val="top"/>
          </w:tcPr>
          <w:p w14:paraId="19633350">
            <w:pPr>
              <w:snapToGrid w:val="0"/>
              <w:jc w:val="center"/>
              <w:rPr>
                <w:rFonts w:hint="eastAsia" w:ascii="宋体" w:hAnsi="宋体" w:eastAsia="宋体" w:cs="宋体"/>
                <w:i w:val="0"/>
                <w:iCs w:val="0"/>
                <w:color w:val="auto"/>
                <w:sz w:val="20"/>
                <w:szCs w:val="20"/>
                <w:u w:val="none"/>
              </w:rPr>
            </w:pPr>
          </w:p>
        </w:tc>
        <w:tc>
          <w:tcPr>
            <w:tcW w:w="720" w:type="dxa"/>
            <w:tcBorders>
              <w:top w:val="nil"/>
              <w:left w:val="nil"/>
              <w:bottom w:val="nil"/>
              <w:right w:val="nil"/>
            </w:tcBorders>
            <w:shd w:val="clear" w:color="auto" w:fill="auto"/>
            <w:vAlign w:val="center"/>
          </w:tcPr>
          <w:p w14:paraId="1910A2F5">
            <w:pPr>
              <w:snapToGrid w:val="0"/>
              <w:jc w:val="center"/>
              <w:rPr>
                <w:rFonts w:hint="eastAsia" w:ascii="宋体" w:hAnsi="宋体" w:eastAsia="宋体" w:cs="宋体"/>
                <w:b/>
                <w:bCs/>
                <w:i w:val="0"/>
                <w:iCs w:val="0"/>
                <w:color w:val="auto"/>
                <w:sz w:val="20"/>
                <w:szCs w:val="20"/>
                <w:u w:val="none"/>
              </w:rPr>
            </w:pPr>
          </w:p>
        </w:tc>
        <w:tc>
          <w:tcPr>
            <w:tcW w:w="1320" w:type="dxa"/>
            <w:tcBorders>
              <w:top w:val="nil"/>
              <w:left w:val="nil"/>
              <w:bottom w:val="nil"/>
              <w:right w:val="nil"/>
            </w:tcBorders>
            <w:shd w:val="clear" w:color="auto" w:fill="auto"/>
            <w:vAlign w:val="center"/>
          </w:tcPr>
          <w:p w14:paraId="0E8D66F7">
            <w:pPr>
              <w:snapToGrid w:val="0"/>
              <w:jc w:val="center"/>
              <w:rPr>
                <w:rFonts w:hint="eastAsia" w:ascii="宋体" w:hAnsi="宋体" w:eastAsia="宋体" w:cs="宋体"/>
                <w:b/>
                <w:bCs/>
                <w:i w:val="0"/>
                <w:iCs w:val="0"/>
                <w:color w:val="auto"/>
                <w:sz w:val="20"/>
                <w:szCs w:val="20"/>
                <w:u w:val="none"/>
              </w:rPr>
            </w:pPr>
          </w:p>
        </w:tc>
        <w:tc>
          <w:tcPr>
            <w:tcW w:w="1395" w:type="dxa"/>
            <w:tcBorders>
              <w:top w:val="nil"/>
              <w:left w:val="nil"/>
              <w:bottom w:val="nil"/>
              <w:right w:val="nil"/>
            </w:tcBorders>
            <w:shd w:val="clear" w:color="auto" w:fill="auto"/>
            <w:vAlign w:val="center"/>
          </w:tcPr>
          <w:p w14:paraId="385BCBC5">
            <w:pPr>
              <w:snapToGrid w:val="0"/>
              <w:jc w:val="center"/>
              <w:rPr>
                <w:rFonts w:hint="eastAsia" w:ascii="宋体" w:hAnsi="宋体" w:eastAsia="宋体" w:cs="宋体"/>
                <w:b/>
                <w:bCs/>
                <w:i w:val="0"/>
                <w:iCs w:val="0"/>
                <w:color w:val="auto"/>
                <w:sz w:val="20"/>
                <w:szCs w:val="20"/>
                <w:u w:val="none"/>
              </w:rPr>
            </w:pPr>
          </w:p>
        </w:tc>
        <w:tc>
          <w:tcPr>
            <w:tcW w:w="1372" w:type="dxa"/>
            <w:tcBorders>
              <w:top w:val="nil"/>
              <w:left w:val="nil"/>
              <w:bottom w:val="nil"/>
              <w:right w:val="nil"/>
            </w:tcBorders>
            <w:shd w:val="clear" w:color="auto" w:fill="auto"/>
            <w:vAlign w:val="center"/>
          </w:tcPr>
          <w:p w14:paraId="3425E721">
            <w:pPr>
              <w:snapToGrid w:val="0"/>
              <w:jc w:val="center"/>
              <w:rPr>
                <w:rFonts w:hint="eastAsia" w:ascii="宋体" w:hAnsi="宋体" w:eastAsia="宋体" w:cs="宋体"/>
                <w:b/>
                <w:bCs/>
                <w:i w:val="0"/>
                <w:iCs w:val="0"/>
                <w:color w:val="auto"/>
                <w:sz w:val="20"/>
                <w:szCs w:val="20"/>
                <w:u w:val="none"/>
              </w:rPr>
            </w:pPr>
          </w:p>
        </w:tc>
      </w:tr>
      <w:tr w14:paraId="76A31D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2729" w:type="dxa"/>
            <w:gridSpan w:val="7"/>
            <w:tcBorders>
              <w:top w:val="nil"/>
              <w:left w:val="nil"/>
              <w:bottom w:val="nil"/>
              <w:right w:val="nil"/>
            </w:tcBorders>
            <w:shd w:val="clear" w:color="auto" w:fill="auto"/>
            <w:vAlign w:val="center"/>
          </w:tcPr>
          <w:p w14:paraId="1495630C">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4"/>
                <w:szCs w:val="24"/>
                <w:u w:val="none"/>
                <w:lang w:val="en-US" w:eastAsia="zh-CN" w:bidi="ar"/>
              </w:rPr>
            </w:pPr>
            <w:r>
              <w:rPr>
                <w:rFonts w:hint="eastAsia" w:ascii="宋体" w:hAnsi="宋体" w:eastAsia="宋体" w:cs="宋体"/>
                <w:b/>
                <w:bCs/>
                <w:i w:val="0"/>
                <w:iCs w:val="0"/>
                <w:color w:val="auto"/>
                <w:kern w:val="0"/>
                <w:sz w:val="24"/>
                <w:szCs w:val="24"/>
                <w:u w:val="none"/>
                <w:lang w:val="en-US" w:eastAsia="zh-CN" w:bidi="ar"/>
              </w:rPr>
              <w:t>长沙市轨道交通6号线智慧地铁建设工程（运营期）设备集成采购项目控制价公示表-系统软件部分</w:t>
            </w:r>
          </w:p>
        </w:tc>
        <w:tc>
          <w:tcPr>
            <w:tcW w:w="1372" w:type="dxa"/>
            <w:tcBorders>
              <w:top w:val="nil"/>
              <w:left w:val="nil"/>
              <w:bottom w:val="nil"/>
              <w:right w:val="nil"/>
            </w:tcBorders>
            <w:shd w:val="clear" w:color="auto" w:fill="auto"/>
            <w:vAlign w:val="center"/>
          </w:tcPr>
          <w:p w14:paraId="2056016F">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4"/>
                <w:szCs w:val="24"/>
                <w:u w:val="none"/>
                <w:lang w:val="en-US" w:eastAsia="zh-CN" w:bidi="ar"/>
              </w:rPr>
            </w:pPr>
          </w:p>
        </w:tc>
      </w:tr>
      <w:tr w14:paraId="5A9AB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14101" w:type="dxa"/>
            <w:gridSpan w:val="8"/>
            <w:tcBorders>
              <w:top w:val="nil"/>
              <w:left w:val="nil"/>
              <w:bottom w:val="single" w:color="000000" w:sz="4" w:space="0"/>
              <w:right w:val="nil"/>
            </w:tcBorders>
            <w:shd w:val="clear" w:color="auto" w:fill="auto"/>
            <w:vAlign w:val="center"/>
          </w:tcPr>
          <w:p w14:paraId="509FB4FE">
            <w:pPr>
              <w:keepNext w:val="0"/>
              <w:keepLines w:val="0"/>
              <w:widowControl/>
              <w:suppressLineNumbers w:val="0"/>
              <w:snapToGrid w:val="0"/>
              <w:jc w:val="center"/>
              <w:textAlignment w:val="center"/>
              <w:rPr>
                <w:rFonts w:hint="eastAsia" w:ascii="宋体" w:hAnsi="宋体" w:eastAsia="宋体" w:cs="宋体"/>
                <w:i w:val="0"/>
                <w:iCs w:val="0"/>
                <w:color w:val="auto"/>
                <w:kern w:val="0"/>
                <w:sz w:val="20"/>
                <w:szCs w:val="20"/>
                <w:u w:val="none"/>
                <w:lang w:val="en-US" w:eastAsia="zh-CN" w:bidi="ar"/>
              </w:rPr>
            </w:pPr>
            <w:r>
              <w:rPr>
                <w:rFonts w:hint="eastAsia" w:ascii="宋体" w:hAnsi="宋体" w:eastAsia="宋体" w:cs="宋体"/>
                <w:i w:val="0"/>
                <w:iCs w:val="0"/>
                <w:color w:val="auto"/>
                <w:kern w:val="0"/>
                <w:sz w:val="20"/>
                <w:szCs w:val="20"/>
                <w:u w:val="none"/>
                <w:lang w:val="en-US" w:eastAsia="zh-CN" w:bidi="ar"/>
              </w:rPr>
              <w:t xml:space="preserve">                                                                                                                           单位：人民币元</w:t>
            </w:r>
          </w:p>
        </w:tc>
      </w:tr>
      <w:tr w14:paraId="3955A7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9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36C3AB">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序号</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973A9E">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名称及规格</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AC2C3">
            <w:pPr>
              <w:keepNext w:val="0"/>
              <w:keepLines w:val="0"/>
              <w:widowControl/>
              <w:suppressLineNumbers w:val="0"/>
              <w:snapToGrid w:val="0"/>
              <w:jc w:val="center"/>
              <w:textAlignment w:val="center"/>
              <w:rPr>
                <w:rFonts w:hint="default" w:ascii="宋体" w:hAnsi="宋体" w:eastAsia="宋体" w:cs="宋体"/>
                <w:b/>
                <w:bCs/>
                <w:i w:val="0"/>
                <w:iCs w:val="0"/>
                <w:color w:val="auto"/>
                <w:sz w:val="20"/>
                <w:szCs w:val="20"/>
                <w:u w:val="none"/>
                <w:lang w:val="en-US" w:eastAsia="zh-CN"/>
              </w:rPr>
            </w:pPr>
            <w:r>
              <w:rPr>
                <w:rFonts w:hint="eastAsia" w:ascii="宋体" w:hAnsi="宋体" w:eastAsia="宋体" w:cs="宋体"/>
                <w:b/>
                <w:bCs/>
                <w:i w:val="0"/>
                <w:iCs w:val="0"/>
                <w:color w:val="auto"/>
                <w:sz w:val="20"/>
                <w:szCs w:val="20"/>
                <w:u w:val="none"/>
                <w:lang w:val="en-US" w:eastAsia="zh-CN"/>
              </w:rPr>
              <w:t>项目特征</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6E10F7">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单位</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079E4">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数量</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26506">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控制价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含税单价</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22FBA">
            <w:pPr>
              <w:keepNext w:val="0"/>
              <w:keepLines w:val="0"/>
              <w:widowControl/>
              <w:suppressLineNumbers w:val="0"/>
              <w:snapToGrid w:val="0"/>
              <w:jc w:val="center"/>
              <w:textAlignment w:val="center"/>
              <w:rPr>
                <w:rFonts w:hint="default"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控制价</w:t>
            </w:r>
            <w:r>
              <w:rPr>
                <w:rFonts w:hint="eastAsia" w:ascii="宋体" w:hAnsi="宋体" w:eastAsia="宋体" w:cs="宋体"/>
                <w:b/>
                <w:bCs/>
                <w:i w:val="0"/>
                <w:iCs w:val="0"/>
                <w:color w:val="auto"/>
                <w:kern w:val="0"/>
                <w:sz w:val="20"/>
                <w:szCs w:val="20"/>
                <w:u w:val="none"/>
                <w:lang w:val="en-US" w:eastAsia="zh-CN" w:bidi="ar"/>
              </w:rPr>
              <w:br w:type="textWrapping"/>
            </w:r>
            <w:r>
              <w:rPr>
                <w:rFonts w:hint="eastAsia" w:ascii="宋体" w:hAnsi="宋体" w:eastAsia="宋体" w:cs="宋体"/>
                <w:b/>
                <w:bCs/>
                <w:i w:val="0"/>
                <w:iCs w:val="0"/>
                <w:color w:val="auto"/>
                <w:kern w:val="0"/>
                <w:sz w:val="20"/>
                <w:szCs w:val="20"/>
                <w:u w:val="none"/>
                <w:lang w:val="en-US" w:eastAsia="zh-CN" w:bidi="ar"/>
              </w:rPr>
              <w:t>含税合价</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F9FE9">
            <w:pPr>
              <w:keepNext w:val="0"/>
              <w:keepLines w:val="0"/>
              <w:widowControl/>
              <w:suppressLineNumbers w:val="0"/>
              <w:snapToGrid w:val="0"/>
              <w:jc w:val="center"/>
              <w:textAlignment w:val="center"/>
              <w:rPr>
                <w:rFonts w:hint="eastAsia" w:ascii="宋体" w:hAnsi="宋体" w:eastAsia="宋体" w:cs="宋体"/>
                <w:b/>
                <w:bCs/>
                <w:i w:val="0"/>
                <w:iCs w:val="0"/>
                <w:color w:val="auto"/>
                <w:kern w:val="0"/>
                <w:sz w:val="20"/>
                <w:szCs w:val="20"/>
                <w:u w:val="none"/>
                <w:lang w:val="en-US" w:eastAsia="zh-CN" w:bidi="ar"/>
              </w:rPr>
            </w:pPr>
            <w:r>
              <w:rPr>
                <w:rFonts w:hint="eastAsia" w:ascii="宋体" w:hAnsi="宋体" w:eastAsia="宋体" w:cs="宋体"/>
                <w:b/>
                <w:bCs/>
                <w:i w:val="0"/>
                <w:iCs w:val="0"/>
                <w:color w:val="auto"/>
                <w:kern w:val="0"/>
                <w:sz w:val="20"/>
                <w:szCs w:val="20"/>
                <w:u w:val="none"/>
                <w:lang w:val="en-US" w:eastAsia="zh-CN" w:bidi="ar"/>
              </w:rPr>
              <w:t>备注</w:t>
            </w:r>
          </w:p>
        </w:tc>
      </w:tr>
      <w:tr w14:paraId="1A4AAA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E3460B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 防洪防汛系统主要设备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B2179">
            <w:pPr>
              <w:snapToGrid w:val="0"/>
              <w:jc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438B7">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DD6D4">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64087">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E8B14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EA9F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3D8072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AA1E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03E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车站水淹评估应用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D21ED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1.名称:车站水淹评估应用</w:t>
            </w:r>
          </w:p>
          <w:p w14:paraId="7282C0B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2.技术要求：评估构建车站水浸风险智能算法模型，实现以下功能：车站地下空间渗水风险评估、车站水泵故障监测评估等。</w:t>
            </w:r>
          </w:p>
          <w:p w14:paraId="2E3B7C3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03C86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2390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16A8E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C9DF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544000.00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EE2D7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544000.00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F2873F">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756A2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3197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21E3C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车站防汛四张图电子化</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08E55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1.名称:车站防汛四张图电子化</w:t>
            </w:r>
          </w:p>
          <w:p w14:paraId="57508A3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2.技术要求：防汛作战图、车站相邻区间排水图、车站排水图、车站街区图的电子化。</w:t>
            </w:r>
          </w:p>
          <w:p w14:paraId="3954060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CB9F9A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D07E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3146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6DB36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544000.00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FF85E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544000.00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61A7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161C8A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EB37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7214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预案联动处置</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7AEA1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1.名称:预案联动处置</w:t>
            </w:r>
          </w:p>
          <w:p w14:paraId="6F017F5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2.技术要求：系统自动监测到车站汛情预警信息时，在管控平台提示车站用户启动防洪防汛预案进行处置，同时提示线路OCC协同应急处置调度。</w:t>
            </w:r>
          </w:p>
          <w:p w14:paraId="6D072BB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5EDCC1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4B9E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DC04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F855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326400.00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7481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326400.00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E9BA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06EF00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43B2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FE8B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水位异常告警</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8439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1.名称:水位异常告警</w:t>
            </w:r>
          </w:p>
          <w:p w14:paraId="411A6B4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系统根据车站出入口水位“一级应急响应预警”、“二级应急响应预警”、“三级应急响应预警”标准设置告警阈值，当出入口电子水尺反馈的水位数据达到不同阈值时，应实现弹窗提醒现场处置人员。现场处置人员可根据不同级别告警信息调用对应车站出入口视频进行研判，同时系统应提供不同告警级别对应的应急预案，提供应急处置决策的辅助信息。三个级别的告警分别对应的不同处置预案内容在设计联络阶段明确。</w:t>
            </w:r>
          </w:p>
          <w:p w14:paraId="1A75907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4B4E5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26F9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3E41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D232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326400.00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5ED5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326400.00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8AD2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2C915C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3A33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7</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DFEE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BAS系统接入新增点位并上传改造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4FE1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1.名称:BAS系统接入新增点位并上传改造</w:t>
            </w:r>
          </w:p>
          <w:p w14:paraId="1D0AFD1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2.规格:BAS系统接入新增点位并上传改造与现有系统（功能）的互联互通</w:t>
            </w:r>
          </w:p>
          <w:p w14:paraId="536A56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0A1546F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6CC12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个</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158A4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102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AA59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196.08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91A8A6">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538B89">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721E39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043A86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12.2  视频分析系统主要设备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75B50A">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E9A9B6">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44424A">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0641">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FCAB8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8767C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1CAF2B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BC0F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6F453">
            <w:pPr>
              <w:keepNext w:val="0"/>
              <w:keepLines w:val="0"/>
              <w:widowControl/>
              <w:suppressLineNumbers w:val="0"/>
              <w:snapToGrid w:val="0"/>
              <w:jc w:val="left"/>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车站视频智能分析应用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D2E0F">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95AC93">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C0943">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E67C3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D0928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C4E0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79B242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7203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43FE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视频智能分析应用软件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E0047">
            <w:pPr>
              <w:snapToGrid w:val="0"/>
              <w:jc w:val="left"/>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1.名称:视频智能分析应用软件</w:t>
            </w:r>
          </w:p>
          <w:p w14:paraId="4D107DCA">
            <w:pPr>
              <w:snapToGrid w:val="0"/>
              <w:jc w:val="left"/>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长沙市轨道交通6号线在建设期全线34车站实现客流热力密度、电梯（扶梯）异常监测等视频分析功能，在部分站点实现入侵监测、可疑物监测、客流统计、人员逗留监测、人员打架剧烈运动监测等视频分析等。</w:t>
            </w:r>
          </w:p>
          <w:p w14:paraId="37D890B8">
            <w:pPr>
              <w:snapToGrid w:val="0"/>
              <w:jc w:val="left"/>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19DDCE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3451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25ED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4A0E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227800.00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C43A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227800.00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275C4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355EED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9496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9A1C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隔栏递物监测算法软件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B004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1.名称:隔栏递物监测算法软件</w:t>
            </w:r>
          </w:p>
          <w:p w14:paraId="5DB3A6C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2.技术要求：在全线34个车站的出闸端位置对人员传递物品的行为进行监测。当有人员在监测区域有传物行为时，需及时向车站工作人员进行告警并提示及时处理事件。</w:t>
            </w:r>
          </w:p>
          <w:p w14:paraId="5369599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9A4F3E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E2B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78E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F8A9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1185000.00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BDA6B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1185000.00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61B33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2000B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9467F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CB8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扶梯人员摔倒监测算法软件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D0EF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1.名称:扶梯人员摔倒监测算法软件</w:t>
            </w:r>
          </w:p>
          <w:p w14:paraId="0EB78E3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在运营时段内，通过接入扶梯上方或两侧的高清摄像头，以确保能够全面覆盖扶梯区域，捕捉到人员的行为。基于智能视频分析算法对扶梯上人员的姿态、关键点（如头部、四肢等）以及关键点之间的相对位置关系进行判别人员是否摔倒，当监测人员摔倒时，系统应将报警信息推送至管控平台，管控平台应同步生成监测预警消息并弹窗提示，预警消息包括监测时间、事发所在位置、对应视频画面及画面截图等内容。</w:t>
            </w:r>
          </w:p>
          <w:p w14:paraId="38F9238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5CC6A6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8A41F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9118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DBA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CEDAE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05D74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C048B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6F86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9FBD8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安检人员值岗监测算法软件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（玩手机、打瞌睡）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5AD4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1.名称:安检人员值岗监测算法软件</w:t>
            </w:r>
          </w:p>
          <w:p w14:paraId="4A19314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2.技术要求：通过视频分析技术，对地铁安检人员的值岗状态进行实时监控，一旦发现安检人员值岗时玩手机等不规范行为，立即通过告警终端进行报警。</w:t>
            </w:r>
          </w:p>
          <w:p w14:paraId="1AB4F1E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2F39FF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27AE9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7A5E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7925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410000.00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F4BEB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F015B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C2B7CB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CA70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23AA7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智能开关站检测算法软件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（扶梯、电梯有人检测）</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90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1.名称:智能开关站检测算法软件（扶梯、电梯有人检测）</w:t>
            </w:r>
          </w:p>
          <w:p w14:paraId="0494CAB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2.技术要求：围绕运营工作效率提升，在全线34个车站新增智能开关站相关AI智能分析辅助场景检测，辅助提升工作效率。</w:t>
            </w:r>
          </w:p>
          <w:p w14:paraId="15E9D20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2681E1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6BBDD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32B5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0180B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3888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63E2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C68A9D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2D830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3FC5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智能巡站检测算法软件</w:t>
            </w:r>
            <w:r>
              <w:rPr>
                <w:rFonts w:hint="eastAsia" w:ascii="宋体" w:hAnsi="宋体" w:eastAsia="宋体" w:cs="宋体"/>
                <w:i w:val="0"/>
                <w:iCs w:val="0"/>
                <w:color w:val="auto"/>
                <w:kern w:val="0"/>
                <w:sz w:val="20"/>
                <w:szCs w:val="20"/>
                <w:u w:val="none"/>
                <w:lang w:val="en-US" w:eastAsia="zh-CN" w:bidi="ar"/>
              </w:rPr>
              <w:br w:type="textWrapping"/>
            </w:r>
            <w:r>
              <w:rPr>
                <w:rFonts w:hint="eastAsia" w:ascii="宋体" w:hAnsi="宋体" w:eastAsia="宋体" w:cs="宋体"/>
                <w:i w:val="0"/>
                <w:iCs w:val="0"/>
                <w:color w:val="auto"/>
                <w:kern w:val="0"/>
                <w:sz w:val="20"/>
                <w:szCs w:val="20"/>
                <w:u w:val="none"/>
                <w:lang w:val="en-US" w:eastAsia="zh-CN" w:bidi="ar"/>
              </w:rPr>
              <w:t>（9 类检测算法）</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39EAF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1.名称:智能巡站检测算法软件（9类检测算法）</w:t>
            </w:r>
          </w:p>
          <w:p w14:paraId="7FA6BED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智慧地铁管控平台对接，同步巡站线路视频，当每次巡站应用联动任务触发视频分析任务，实现9种智能监测算法（包括但不限于以下算法逻辑，具体算法种类在设计联络阶段确定）：消火栓门/消防器门状态检测、地面大量积水、信息显示屏是否黑屏检测、风亭漫水、人员摔倒、烟火检测、轮椅检测等。</w:t>
            </w:r>
          </w:p>
          <w:p w14:paraId="11F95B0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BC3CE4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16B5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ED60F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768D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2541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6011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68DF00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FF8A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E1E61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管控平台智慧化应用升级改造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4F55C60D">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79D814F2">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4FA7F56D">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F88D5">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20DC7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386DF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AC4A5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2F6A3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B4B5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早间智能开站AI化升级</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E7E5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1.名称:早间智能开站AI化升级</w:t>
            </w:r>
          </w:p>
          <w:p w14:paraId="6B6AC10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2.技术要求：系统调用电扶梯有人检测算法，对车站每个扶梯的上、下视频点位进行精准视频抓取与深度分析，快速且准确地检测扶梯上是否存在人员，为开站安全提供保障。</w:t>
            </w:r>
          </w:p>
          <w:p w14:paraId="17483BB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7EB979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7FDD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E5BD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1544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5224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A287C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849041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5356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042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晚间智能关站AI化升级</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0EF4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1.名称:晚间智能关站AI化升级</w:t>
            </w:r>
          </w:p>
          <w:p w14:paraId="2557D6B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2.技术要求：同时调用电扶梯有人检测算法和直梯有人检测算法，分别对扶梯和直梯内是否有人进行检测，确保关站时站内无滞留人员。</w:t>
            </w:r>
          </w:p>
          <w:p w14:paraId="09A0A55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1C2205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39A8B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AAFD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BB8F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6C44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6884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E2180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049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8C2A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智能巡检应用AI化升级</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46368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1.名称:智能巡检应用AI化升级</w:t>
            </w:r>
          </w:p>
          <w:p w14:paraId="4FDE36C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2.技术要求：启动智能巡检的同时，视频分析同步开启，对多种异常行为/情况进行实时检查。系数自动生成预警信息等。</w:t>
            </w:r>
          </w:p>
          <w:p w14:paraId="752960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52C4AB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98E7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34C8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6E3A6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3B4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F527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BC778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A62EF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F110D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智能开关站/巡检日报功能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AEE5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1.名称:智能开关站/巡检日报功能</w:t>
            </w:r>
          </w:p>
          <w:p w14:paraId="487730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2.技术要求：基于管控平台现有的开站报告、关站报告、巡检报告，系统自动生成每日智能开关站/巡检日报。</w:t>
            </w:r>
          </w:p>
          <w:p w14:paraId="519C7EF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7DCFFE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DF6B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62FF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7384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9C8A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3E20C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0C1D3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404F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D0B8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既有视频监控配合的对接、调整</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A1B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1.名称:既有视频监控配合的对接、调整</w:t>
            </w:r>
          </w:p>
          <w:p w14:paraId="31F5B98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2.技术要求：与既有视频监控配合的对接、调整。</w:t>
            </w:r>
          </w:p>
          <w:p w14:paraId="4696CC3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F1E012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421D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0947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740C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FE2C96">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40DF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3F9294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E3D61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12.3 FAS与ACS系统联动主要设备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ADF44">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639F8">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17C11">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B553F">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B5B05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30AC1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30CF1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C102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723A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综合监控平台软件改造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01828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1.名称:综合监控平台软件改造</w:t>
            </w:r>
          </w:p>
          <w:p w14:paraId="54AB5E1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2.技术要求：在全线增加门禁与FAS系统气灭装置手、自动信号联动校验，在全线约600间气灭房间内设置语音播报装置，及时提醒人员按规定操作。</w:t>
            </w:r>
          </w:p>
          <w:p w14:paraId="649C389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D78E30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34BC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DC4C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C4D07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584800.00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542CD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584800.00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21B91">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39D90B7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EA64E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12.5 人脸门禁系统主要设备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6CC99">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B0356D">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31B64">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3D4DD">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D094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DA15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170E18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A77E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706D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中央门禁平台接口改造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AE90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DDD3D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B9EFE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13638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214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CA360D">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D0834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7FBAE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1.1</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5A17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中央门禁平台接口改造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BA7C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1.名称:中央门禁平台接口改造</w:t>
            </w:r>
          </w:p>
          <w:p w14:paraId="0BB9638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2.技术要求：部署一套中心级人脸门禁系统应用（即人脸门禁中央级服务器云化），与既有线路门禁平台信息互通，同时部署可视对讲应用实现视频对讲。</w:t>
            </w:r>
          </w:p>
          <w:p w14:paraId="7B5378C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CE972A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3E102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75D9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8DC0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153600.00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3AD6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153600.00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5D2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AEB6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22EA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C8E0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综合监控系统接口改造</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7D7B7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1.名称:综合监控平台软件改造</w:t>
            </w:r>
          </w:p>
          <w:p w14:paraId="70482AC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2.技术要求：实现人脸门禁系统与综合监控系统的连接。</w:t>
            </w:r>
          </w:p>
          <w:p w14:paraId="3F4F653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EF237C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4E3E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814F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E196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AC48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3F87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0B6D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6B77E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348CE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人脸门禁平台软件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7AD7662F">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696701F3">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4414DBE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EA20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6800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209B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EBAF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64CC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14ED3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人脸平台软件定制开发</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FAE4E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1.名称:人脸平台软件定制开发</w:t>
            </w:r>
          </w:p>
          <w:p w14:paraId="4DF1169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2.技术要求：人脸平台软件定制开发。</w:t>
            </w:r>
          </w:p>
          <w:p w14:paraId="30CBB3C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5DC7451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D4D1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CA299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849E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202300.00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4970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202300.00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B79D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8E81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BE3D4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C4B01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软件现场部署和调试</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B6BA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1.名称:软件现场部署和调试</w:t>
            </w:r>
          </w:p>
          <w:p w14:paraId="141B5D3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2.技术要求：软件现场部署和调试。</w:t>
            </w:r>
          </w:p>
          <w:p w14:paraId="55B407B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43BE38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A687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D2B2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FFDA0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192000.00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645F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192000.00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E97C2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服务</w:t>
            </w:r>
          </w:p>
        </w:tc>
      </w:tr>
      <w:tr w14:paraId="3BAF3C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A6D886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12.6 智能钥匙柜主要设备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4F62E765">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2BEB7A8C">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5C15EA0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top"/>
          </w:tcPr>
          <w:p w14:paraId="11AAA40F">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825C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1D987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898C7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99C9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73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与门禁系统接口</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4E6A8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1.名称:与门禁系统接口</w:t>
            </w:r>
          </w:p>
          <w:p w14:paraId="1B6B28B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2.技术要求：通过网络接口接入设备间的门禁系统交换机。</w:t>
            </w:r>
          </w:p>
          <w:p w14:paraId="48294CC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91842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61AAE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F396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597A8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112000.00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8CF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112000.00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EDF50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52A76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9FB93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9AAA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与管控平台接口</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74172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1.名称:与管控平台接口</w:t>
            </w:r>
          </w:p>
          <w:p w14:paraId="46400DE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2.技术要求：通过门禁网络与智慧地铁管控平台进行对接。</w:t>
            </w:r>
          </w:p>
          <w:p w14:paraId="70423B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A9CDDF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357CB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1B2C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62A1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76800.00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99013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76800.00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91F89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A42AE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DB86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BF8E5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管控平台页面集成</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58040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1.名称:管控平台页面集成</w:t>
            </w:r>
          </w:p>
          <w:p w14:paraId="16384F7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2.技术要求：管控平台页面集成。</w:t>
            </w:r>
          </w:p>
          <w:p w14:paraId="14DA37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30DAD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D53B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26A6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FEA17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212400.00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A193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212400.00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813AD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D4DD0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ED82C9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12.7 智慧公寓管理系统主要设备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3E5DD">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1A6AD">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8D9975">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9528A">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E11CD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AC99A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CF258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862B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124AB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梯控接口软件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5125E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1.名称:梯控接口软件</w:t>
            </w:r>
          </w:p>
          <w:p w14:paraId="0CB7570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2.技术要求：梯控接口软件。</w:t>
            </w:r>
          </w:p>
          <w:p w14:paraId="0524A77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3.其他:包括但不限于系统设计、软硬件开发与制造、供货、安装督导、系统及设备的单体调试、系统测试、设备联调、系统调试及试运行、其他相关验收、培训、质保等工作内容。</w:t>
            </w:r>
          </w:p>
          <w:p w14:paraId="2D3ED56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7942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9D91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28A1E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12000.00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126A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6B683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80C93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991A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363F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与GBIM 系统对接接口</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D258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1.名称:与GBIM系统对接接口</w:t>
            </w:r>
          </w:p>
          <w:p w14:paraId="031D6BA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2.技术要求：与GBIM系统对接接口。</w:t>
            </w:r>
          </w:p>
          <w:p w14:paraId="40BAE68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0D122FC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3D1C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AA2B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B306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12729.86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8548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25459.72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6ECB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E2A3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1AC82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B31EC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与门禁系统对接接口</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897C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1.名称:与门禁系统对接接口</w:t>
            </w:r>
          </w:p>
          <w:p w14:paraId="109BDD5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2.技术要求：与门禁系统对接接口。</w:t>
            </w:r>
          </w:p>
          <w:p w14:paraId="64E5E0A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F6E98B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BC2E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AB0A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8F2B8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D2B00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FFC6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7A929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A343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FAB8A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公寓管理系统软件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1CC9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1.名称:公寓管理系统软件</w:t>
            </w:r>
          </w:p>
          <w:p w14:paraId="30037FC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2.技术要求：公寓管理系统软件。</w:t>
            </w:r>
          </w:p>
          <w:p w14:paraId="4C44CE2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5CB621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4C40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5630C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2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F8F3A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191754.41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CE4AD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383508.82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FFC73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DD76C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108FAA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 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75151">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B76F5">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DB5858">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B5CDAB">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EB075">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7BD4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B6E09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8AE227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12.8.1 智能运维平台主要设备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DB7AA">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407BCD">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CCB4A">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41B6D">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6A38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19945">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106D2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F68E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12C7E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553977A4">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1159E381">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480C307E">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D3530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96281">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C08E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3313AD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6568A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08E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通信智能运维数据接入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2C63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1.名称:通信智能运维数据接入</w:t>
            </w:r>
          </w:p>
          <w:p w14:paraId="4D34540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2.技术要求：通信智能运维数据接入。</w:t>
            </w:r>
          </w:p>
          <w:p w14:paraId="6552E06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A5EC2A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3227A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102D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536B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51800.00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8809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51800.00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D95FE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E2AD9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7546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1F52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电扶梯智能运维数据接入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C5FFA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1.名称:电扶梯智能运维数据接入</w:t>
            </w:r>
          </w:p>
          <w:p w14:paraId="2F6628E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2.技术要求：电扶梯智能运维数据接入。</w:t>
            </w:r>
          </w:p>
          <w:p w14:paraId="1A8AFF4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530D82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62463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AABD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6E7D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146600.00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889E9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146600.00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7B69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8766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A16D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15C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供电智能运维数据接入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2A8B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1.名称:供电智能运维数据接入</w:t>
            </w:r>
          </w:p>
          <w:p w14:paraId="251F29B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2.技术要求：供电智能运维数据接入。</w:t>
            </w:r>
          </w:p>
          <w:p w14:paraId="1DE4E1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C61948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A59C3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49953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56C6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103700.00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CF59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103700.00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8745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B8D07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6043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40DC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AFC 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CA5C0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1.名称:AFC智能运维数据接入</w:t>
            </w:r>
          </w:p>
          <w:p w14:paraId="4A8FE83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2.技术要求：AFC智能运维数据接入。</w:t>
            </w:r>
          </w:p>
          <w:p w14:paraId="5FE1194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50028D2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4112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3628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C61C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93300.00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08677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93300.00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FE06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B467A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2B31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0E0E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站台门智能运维数据接入</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0783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1.名称:站台门智能运维数据接入</w:t>
            </w:r>
          </w:p>
          <w:p w14:paraId="5F5E387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2.技术要求：站台门智能运维数据接入。</w:t>
            </w:r>
          </w:p>
          <w:p w14:paraId="7B16364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904DA4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1A93A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F7A83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BEBB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51800.00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5350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51800.00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5A72C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D6550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BCB7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974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智能分析与辅助决策</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51A01C5F">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3D44E681">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04BE0104">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6521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731B5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FDB39">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2BA9A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366E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C048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线路设备自动巡检</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3CF5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1.名称:线路设备自动巡检</w:t>
            </w:r>
          </w:p>
          <w:p w14:paraId="3FABB25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2.技术要求：线路设备自动巡检。</w:t>
            </w:r>
          </w:p>
          <w:p w14:paraId="0D065F5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0C99CB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E278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0FDEF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C0E22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115500.00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DA9E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115500.00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1DA9B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D72F2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236EF0">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5E2DE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线路设备状态评估</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A81E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1.名称:线路设备状态评估</w:t>
            </w:r>
          </w:p>
          <w:p w14:paraId="1FEECB4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2.技术要求：线路设备状态评估。</w:t>
            </w:r>
          </w:p>
          <w:p w14:paraId="24D9E2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8190D4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C03C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D241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A8738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189200.00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D17DC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189200.00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6060B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5AC65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AD50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E66F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智能统计分析</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AF6A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1.名称:智能统计分析</w:t>
            </w:r>
          </w:p>
          <w:p w14:paraId="4A95865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2.技术要求：智能统计分析。</w:t>
            </w:r>
          </w:p>
          <w:p w14:paraId="5AB3A5C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C1DD16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34659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9AE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EEC60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241000.00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A92E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241000.00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244C7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9288B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A44E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F904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RCM维修策略调整建议</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DE842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1.名称:RCM维修策略调整建议</w:t>
            </w:r>
          </w:p>
          <w:p w14:paraId="2C48A35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2.技术要求：RCM维修策略调整建议。</w:t>
            </w:r>
          </w:p>
          <w:p w14:paraId="52E64DB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2D487A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3BD1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5B69C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3730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166600.00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FA34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166600.00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37699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68A8E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2061E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F5AC9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设备故障追踪与故障回溯</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9CA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1.名称:设备故障追踪与故障回溯</w:t>
            </w:r>
          </w:p>
          <w:p w14:paraId="136DC6B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2.技术要求：设备故障追踪与故障回溯。</w:t>
            </w:r>
          </w:p>
          <w:p w14:paraId="51DC490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D2E6FE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E4252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48196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EB925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103700.00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08444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103700.00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DEEFB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B7FC37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27BC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E0AA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规则引擎</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955E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1.名称:规则引擎</w:t>
            </w:r>
          </w:p>
          <w:p w14:paraId="58B6168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2.技术要求：规则引擎。</w:t>
            </w:r>
          </w:p>
          <w:p w14:paraId="225A45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60AA43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E1C8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9D76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5EF2C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135500.00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B8704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135500.00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FD7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4D082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815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364B9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通用功能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B88E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1.名称:通用功能</w:t>
            </w:r>
          </w:p>
          <w:p w14:paraId="5625D02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2.技术要求：包含用户管理、权限管理、系统日志、数据备份、流程管理、报表及展示、消息管理、算法库、系统资源管理、数据库管理、数据结构化处理、数据结构化处理、人机交互界面等。</w:t>
            </w:r>
          </w:p>
          <w:p w14:paraId="3516780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FB1AD9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2D6C0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0940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501F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609000.00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F96D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609000.00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F92FC3">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软件</w:t>
            </w:r>
          </w:p>
        </w:tc>
      </w:tr>
      <w:tr w14:paraId="5B6CBC3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B42869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12.8.2 通信智能运维主要设备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6B6F4">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F6FD07">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BA841E">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C7C9E">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A83C6">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A71637">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0E0B9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05E8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3882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主机设备数据采集软件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78C8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1.名称:主机设备数据采集软件</w:t>
            </w:r>
          </w:p>
          <w:p w14:paraId="7E59762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2.技术要求：在通过部署自采集软件，实现对通信系统中服务器、交换机等关键设备的数据采集与智能分析功能。</w:t>
            </w:r>
          </w:p>
          <w:p w14:paraId="093B095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4DF17C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1C0D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B27C8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2992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5176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0A7A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58227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749D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A9F2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数通设备数据采集软件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7961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1.名称:数通设备数据采集软件</w:t>
            </w:r>
          </w:p>
          <w:p w14:paraId="2278E7D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2.技术要求：在通过部署自采集软件，实现对通信系统中服务器、交换机等关键设备的数据采集与智能分析功能。</w:t>
            </w:r>
          </w:p>
          <w:p w14:paraId="213B3E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11DF06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2F49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8343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CF70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8405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8FF2D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249D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99B6B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164A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设备性能分析功能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CC76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1.名称:设备性能分析功能</w:t>
            </w:r>
          </w:p>
          <w:p w14:paraId="3DD3A48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采集关键设备的实时状态数据，包括服务器/工作站的CPU利用率、内存使用率、网口实时网速、硬盘占用率、应用进程状态，以及交换机的端口实时速率、CPU利用率、内存使用率、板卡温度、端口丢包率和光口功率等，结合预设的阈值规则和机器学习模型对资源过载、网络瓶颈、硬件异常等现象进行预警。</w:t>
            </w:r>
          </w:p>
          <w:p w14:paraId="06094FA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7A9E77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9F2B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2D82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5C834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93798.58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C0C6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93798.58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4A66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AE6E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C28BB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9AAB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设备可靠度评估功能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0A85C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1.名称:设备可靠度评估功能</w:t>
            </w:r>
          </w:p>
          <w:p w14:paraId="2F166AE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2.技术要求：应具备通信各子系统关键设备的可靠度评估功能，通过结合关键设备的使用年限、设备故障情况、设备性能状态等动态数据，实现对关键设备的可靠度评价方式。</w:t>
            </w:r>
          </w:p>
          <w:p w14:paraId="576DC5B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239FE4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A2AB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B8D8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00EF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E1CC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95000.00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89C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08268F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A7AB2">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DC0E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数据统计和趋势分析算法</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B65F4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1.名称:数据统计和趋势分析算法</w:t>
            </w:r>
          </w:p>
          <w:p w14:paraId="7EE08EB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2.技术要求：通过多维统计与趋势分析，为运维优化提供数据支撑，提高运维的科学性。</w:t>
            </w:r>
          </w:p>
          <w:p w14:paraId="0E18D8C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5192355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177C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00BBA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6BE1C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BD2B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539D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8AABF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60F534">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12.8.3 自动售检票智能运维主要设备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F814CD">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178AE7">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7B161">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003204">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50D8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21171">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A56AC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3D19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01AFC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车站AFC终端设备软件升级与适配</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3726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1.名称:车站AFC终端设备软件升级与适配</w:t>
            </w:r>
          </w:p>
          <w:p w14:paraId="74AC780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2.技术要求：车站AFC终端设备软件升级与适配。</w:t>
            </w:r>
          </w:p>
          <w:p w14:paraId="5DB8CC7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D29B7D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85C1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789F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4128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4B5D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880B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B3112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3971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6EE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SC设备软件升级与适配</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9FA5B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1.名称:SC设备软件升级与适配</w:t>
            </w:r>
          </w:p>
          <w:p w14:paraId="49AF566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2.技术要求：SC设备软件升级与适配。</w:t>
            </w:r>
          </w:p>
          <w:p w14:paraId="6317F9B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F74898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9D1AE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8493A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922D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2992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756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F5CE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383B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C705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AFC状态监测</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15DD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1.名称:AFC状态监测</w:t>
            </w:r>
          </w:p>
          <w:p w14:paraId="4104911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AFC状态监测应可监控系统设备运行时的各项指标，包括设备监控、硬件监控、应用监控、日志监控、其他应用监控等，并将监控情况实时在监控界面更新，如有异常，实现声、光、信息通知等告警方式提醒相关人员，并建立相关故障处理知识库，出现故障通过大数据分析将相应处理方法提醒相关人员。</w:t>
            </w:r>
          </w:p>
          <w:p w14:paraId="1C4848A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065FF64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45A9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423B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253C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105630.05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CE67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105630.05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654A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206E4A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51D2F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722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AFC数据分析</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0CD0A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1.名称:AFC数据分析</w:t>
            </w:r>
          </w:p>
          <w:p w14:paraId="0C2F995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2.技术要求：应能提供数据分析功能，对指定时期内的统计分析出来的数据进行处理，分类，为决策分析提供依据。能保存以轮询周期为单位的原始数据保存，便于日后跟踪问题使用。</w:t>
            </w:r>
          </w:p>
          <w:p w14:paraId="7B54CDE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81271C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743F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5637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F3AB3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BDFA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ADB3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B5192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B951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27F92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AFC故障诊断</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269EC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1.名称:AFC故障诊断</w:t>
            </w:r>
          </w:p>
          <w:p w14:paraId="5D11F5F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2.技术要求：应基于数据分析后的数据，提供设备的故障诊断功能，通过历史数据、设备故障机理等维度，过滤无效故障数据，综合定位故障设备节点原因。</w:t>
            </w:r>
          </w:p>
          <w:p w14:paraId="10D23D9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97BE8C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98591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EA0E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BF11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0BBA9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DA356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5694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3492B">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03C1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AFC故障预警</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C99F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1.名称:AFC故障预警</w:t>
            </w:r>
          </w:p>
          <w:p w14:paraId="5DD482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具备设备性能分析后的隐患预警功能，可基于动作次数、运行时间、设备最近一次故障时间、设备使用频率等，从而分析当前各模块工作组件的故障情况和实际故障发生之间的运作曲线，从而提前给出故障预警，介入到维修当中。</w:t>
            </w:r>
          </w:p>
          <w:p w14:paraId="13CAF3A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52AAB12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A6DD1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9370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AB4E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38471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1CF0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4FF38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6A838E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12.8.4 电扶梯智能运维主要设备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E8BB6E">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09934">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8D8A7">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96C4FF">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304EF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A35473">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68527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top"/>
          </w:tcPr>
          <w:p w14:paraId="75790E45">
            <w:pPr>
              <w:snapToGrid w:val="0"/>
              <w:jc w:val="center"/>
              <w:rPr>
                <w:rFonts w:hint="eastAsia" w:ascii="宋体" w:hAnsi="宋体" w:eastAsia="宋体" w:cs="宋体"/>
                <w:i w:val="0"/>
                <w:iCs w:val="0"/>
                <w:color w:val="auto"/>
                <w:sz w:val="20"/>
                <w:szCs w:val="20"/>
                <w:u w:val="none"/>
              </w:rPr>
            </w:pP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96A4F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电扶梯数据采集</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5E48B0B9">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39F17C4F">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73683001">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76AB8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F544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81EF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E6FF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AC49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3BAE4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预防性维护软件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18B9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1.名称:预防性维护软件</w:t>
            </w:r>
          </w:p>
          <w:p w14:paraId="4973A2C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2.技术要求：站级调试与模型训练、实时状态监测、故障诊断、故障预测。</w:t>
            </w:r>
          </w:p>
          <w:p w14:paraId="31D0261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3788FF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8AF03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C4300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4FCD1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665C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CC848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6E911C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A6657">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BAC8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与电扶梯系统接口</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B2176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1.名称:与电扶梯系统接口</w:t>
            </w:r>
          </w:p>
          <w:p w14:paraId="75619C2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2.技术要求：与电扶梯系统接口。</w:t>
            </w:r>
          </w:p>
          <w:p w14:paraId="1369AE0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24317F9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227B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6839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82068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BEF6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9493E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49108C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8565FF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12.8.5 站台门智能运维主要设备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AF528E">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AA172">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8E921">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9775C">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1D83C">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B25D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E1F6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B0ECA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A62F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车站 PSC 软件升级与适配</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6396A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1.名称:车站PSC软件升级与适配</w:t>
            </w:r>
          </w:p>
          <w:p w14:paraId="56934DD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2.技术要求：车站PSC软件升级与适配。</w:t>
            </w:r>
          </w:p>
          <w:p w14:paraId="4F5B18B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D76914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65B6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4DD8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C4024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262200.00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44F5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262200.00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AEB2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1E205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FBA25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2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F43D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车站 DCU 软件升级与适配</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4F86D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1.名称:车站DCU软件升级与适配</w:t>
            </w:r>
          </w:p>
          <w:p w14:paraId="2F1A7E5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2.技术要求：车站DCU软件升级与适配。</w:t>
            </w:r>
          </w:p>
          <w:p w14:paraId="523EAAA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4B874F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3478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CEFD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102D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335600.00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D56BD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335600.00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B4D75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71ADD9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B6AF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0335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站级软件调试与模型训练</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052B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1.名称:站级软件调试与模型训练</w:t>
            </w:r>
          </w:p>
          <w:p w14:paraId="1FCEBA5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2.技术要求：站级软件调试与模型训练。</w:t>
            </w:r>
          </w:p>
          <w:p w14:paraId="6B7BEED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A52C57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0424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E91B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E4245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445800.00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DA60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445800.00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253D7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F5009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D2B9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D8A4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站台门可视化监测功能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0BBE4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1.名称:站台门可视化监测功能</w:t>
            </w:r>
          </w:p>
          <w:p w14:paraId="5472780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2.技术要求：站台门可视化监测功能。</w:t>
            </w:r>
          </w:p>
          <w:p w14:paraId="1CD468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73EDE4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7FC0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F2D1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645F0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0F9B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24600.00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1CA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86541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C445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A739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站台门故障诊断功能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E395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1.名称:站台门故障诊断功能</w:t>
            </w:r>
          </w:p>
          <w:p w14:paraId="70483AB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2.技术要求：站台门故障诊断功能。</w:t>
            </w:r>
          </w:p>
          <w:p w14:paraId="389D1C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08E37A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14431A">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01E5A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3053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78600.00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9651B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78600.00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1181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26567B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AB60B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A889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站台门故障预测功能</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84B9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1.名称:站台门故障预测功能</w:t>
            </w:r>
          </w:p>
          <w:p w14:paraId="2756E8A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2.技术要求：站台门故障预测功能。</w:t>
            </w:r>
          </w:p>
          <w:p w14:paraId="390C5BF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A4FA77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8B16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947E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BDDA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111000.00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26B59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111000.00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E953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4EEDA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3AC009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12.8.6 供电智能运维主要设备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96E80">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2A59F">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4FC748">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51CB">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F7506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0A2CF1">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15AEAA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F55D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B4BD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通信接口软件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6443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1.名称:通信接口软件</w:t>
            </w:r>
          </w:p>
          <w:p w14:paraId="6289BD2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2.技术要求：通信接口软件。</w:t>
            </w:r>
          </w:p>
          <w:p w14:paraId="6B18F04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0FC4E78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492F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DA3E93">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C008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290000.00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27053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290000.00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F71A0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011D1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144F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6CD85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供电智能运维采集软件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C021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1.名称:供电智能运维采集软件</w:t>
            </w:r>
          </w:p>
          <w:p w14:paraId="2856C9B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2.技术要求：供电智能运维采集软件。</w:t>
            </w:r>
          </w:p>
          <w:p w14:paraId="6E2C595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4DC9004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EFB0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86685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1FF5B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340000.00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D3464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340000.00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FD17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AE57D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7094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EE4FA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供电智能运维监测软件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0E616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1.名称:供电智能运维监测软件</w:t>
            </w:r>
          </w:p>
          <w:p w14:paraId="22C2EB0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2.技术要求：供电智能运维监测软件。</w:t>
            </w:r>
          </w:p>
          <w:p w14:paraId="09D1732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5DBFE0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9315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F633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7D9B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370000.00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D53B3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370000.00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D1C3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CB429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31C4BA">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9A74C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供电智能运维故障诊断及智能分析算法</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E978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1.名称:供电智能运维故障诊断及智能分析算法</w:t>
            </w:r>
          </w:p>
          <w:p w14:paraId="007D856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2.技术要求：供电智能运维故障诊断及智能分析算法。</w:t>
            </w:r>
          </w:p>
          <w:p w14:paraId="432289D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C2834C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ABEF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48C28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B647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520000.00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F398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520000.00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B309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BB7F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943016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12.9 维修作业管理系统主要设备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C88439">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7411A">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24A860">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85D11">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A6178">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B6889B">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5A98C2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3871F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5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95D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系统软件</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0BD09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1.名称:系统软件</w:t>
            </w:r>
          </w:p>
          <w:p w14:paraId="1FBD6FE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2.技术要求：含人员定位算法。</w:t>
            </w:r>
          </w:p>
          <w:p w14:paraId="6397270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C9F2B3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FB0A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6F46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AEC1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AD40DA">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FEAE8">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含人员定位算法，软件。</w:t>
            </w:r>
          </w:p>
        </w:tc>
      </w:tr>
      <w:tr w14:paraId="17A771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632E63">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6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1488A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大模型智能运维助手</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E327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1.名称:大模型智能运维助手</w:t>
            </w:r>
          </w:p>
          <w:p w14:paraId="725F20B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2.技术要求：大模型智能运维助手。</w:t>
            </w:r>
          </w:p>
          <w:p w14:paraId="12B12DA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643A825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39F86B">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C89BD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DDE67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7D04C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200000.00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DAC60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0C143F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1653A7C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12.10 云平台主要设备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74782">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56085">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7DF03">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13071">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83C609">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D83B0">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49AE51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279D61E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12.10.1.1 生产网云资源主要设备</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60F1A">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246313">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F1946">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70713">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EF43F">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FEBB4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7BFB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ACE9C">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7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66040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云管理平台扩容授权</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79C23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1.名称:云管理平台扩容授权</w:t>
            </w:r>
          </w:p>
          <w:p w14:paraId="4B32E70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54BC6C5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5881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EF81C">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43435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118998.21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4570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118998.21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FE3F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11E7B1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3A59E5">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BCC80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计算虚拟化软件扩容授权</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4C05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1.名称:计算虚拟化软件扩容授权</w:t>
            </w:r>
          </w:p>
          <w:p w14:paraId="0BC67A9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11D564E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35E6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E6AFA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2660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194593.47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FC721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194593.47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401F4">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34DED5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8343DE">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9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A54C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数据中心统一运维管理平台扩容授权</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29019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1.名称:数据中心统一运维管理平台扩容授权</w:t>
            </w:r>
          </w:p>
          <w:p w14:paraId="675E0D5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2B14D7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D812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D6BBB6">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C264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16412.97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61B1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16412.97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C981C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软件</w:t>
            </w:r>
          </w:p>
        </w:tc>
      </w:tr>
      <w:tr w14:paraId="5F9F6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02E16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11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9392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第三方检测费</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496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1.名称:第三方检测费</w:t>
            </w:r>
          </w:p>
          <w:p w14:paraId="6237C643">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35F2D3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4675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B24F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64EE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113896.74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C7A42B">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113896.74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CDF412">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服务</w:t>
            </w:r>
          </w:p>
        </w:tc>
      </w:tr>
      <w:tr w14:paraId="060A95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1998B98">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fldChar w:fldCharType="begin"/>
            </w:r>
            <w:r>
              <w:rPr>
                <w:rFonts w:hint="eastAsia" w:ascii="宋体" w:hAnsi="宋体" w:eastAsia="宋体" w:cs="宋体"/>
                <w:i w:val="0"/>
                <w:iCs w:val="0"/>
                <w:color w:val="auto"/>
                <w:kern w:val="0"/>
                <w:sz w:val="20"/>
                <w:szCs w:val="20"/>
                <w:u w:val="none"/>
                <w:lang w:val="en-US" w:eastAsia="zh-CN" w:bidi="ar"/>
              </w:rPr>
              <w:instrText xml:space="preserve"> HYPERLINK "12.10.1.2" </w:instrText>
            </w:r>
            <w:r>
              <w:rPr>
                <w:rFonts w:hint="eastAsia" w:ascii="宋体" w:hAnsi="宋体" w:eastAsia="宋体" w:cs="宋体"/>
                <w:i w:val="0"/>
                <w:iCs w:val="0"/>
                <w:color w:val="auto"/>
                <w:kern w:val="0"/>
                <w:sz w:val="20"/>
                <w:szCs w:val="20"/>
                <w:u w:val="none"/>
                <w:lang w:val="en-US" w:eastAsia="zh-CN" w:bidi="ar"/>
              </w:rPr>
              <w:fldChar w:fldCharType="separate"/>
            </w:r>
            <w:r>
              <w:rPr>
                <w:rFonts w:hint="eastAsia" w:ascii="宋体" w:hAnsi="宋体" w:eastAsia="宋体" w:cs="宋体"/>
                <w:i w:val="0"/>
                <w:iCs w:val="0"/>
                <w:color w:val="auto"/>
                <w:kern w:val="0"/>
                <w:sz w:val="20"/>
                <w:szCs w:val="20"/>
                <w:u w:val="none"/>
                <w:lang w:val="en-US" w:eastAsia="zh-CN" w:bidi="ar"/>
              </w:rPr>
              <w:t xml:space="preserve">12.10.1.2 </w:t>
            </w:r>
            <w:r>
              <w:rPr>
                <w:rStyle w:val="4"/>
                <w:rFonts w:hint="eastAsia" w:ascii="宋体" w:hAnsi="宋体" w:eastAsia="宋体" w:cs="宋体"/>
                <w:i w:val="0"/>
                <w:iCs w:val="0"/>
                <w:color w:val="auto"/>
                <w:sz w:val="20"/>
                <w:szCs w:val="20"/>
                <w:u w:val="none"/>
              </w:rPr>
              <w:t>GBIM管理网云资源主要设备</w:t>
            </w:r>
            <w:r>
              <w:rPr>
                <w:rFonts w:hint="eastAsia" w:ascii="宋体" w:hAnsi="宋体" w:eastAsia="宋体" w:cs="宋体"/>
                <w:i w:val="0"/>
                <w:iCs w:val="0"/>
                <w:color w:val="auto"/>
                <w:kern w:val="0"/>
                <w:sz w:val="20"/>
                <w:szCs w:val="20"/>
                <w:u w:val="none"/>
                <w:lang w:val="en-US" w:eastAsia="zh-CN" w:bidi="ar"/>
              </w:rPr>
              <w:fldChar w:fldCharType="end"/>
            </w:r>
            <w:r>
              <w:rPr>
                <w:rFonts w:hint="eastAsia" w:ascii="宋体" w:hAnsi="宋体" w:eastAsia="宋体" w:cs="宋体"/>
                <w:i w:val="0"/>
                <w:iCs w:val="0"/>
                <w:color w:val="auto"/>
                <w:kern w:val="0"/>
                <w:sz w:val="20"/>
                <w:szCs w:val="20"/>
                <w:u w:val="none"/>
                <w:lang w:val="en-US" w:eastAsia="zh-CN" w:bidi="ar"/>
              </w:rPr>
              <w:t>（含集成实施服务）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C25367">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61F8DD">
            <w:pPr>
              <w:snapToGrid w:val="0"/>
              <w:jc w:val="center"/>
              <w:rPr>
                <w:rFonts w:hint="eastAsia" w:ascii="宋体" w:hAnsi="宋体" w:eastAsia="宋体" w:cs="宋体"/>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15FF59">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7BB215">
            <w:pPr>
              <w:snapToGrid w:val="0"/>
              <w:jc w:val="center"/>
              <w:rPr>
                <w:rFonts w:hint="eastAsia" w:ascii="宋体" w:hAnsi="宋体" w:eastAsia="宋体" w:cs="宋体"/>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A6EDD1">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A3E3A">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r>
      <w:tr w14:paraId="2E84B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C4F99">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1A519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信息安全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top"/>
          </w:tcPr>
          <w:p w14:paraId="7EEE4EA5">
            <w:pPr>
              <w:snapToGrid w:val="0"/>
              <w:jc w:val="left"/>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top"/>
          </w:tcPr>
          <w:p w14:paraId="19AE06B0">
            <w:pPr>
              <w:snapToGrid w:val="0"/>
              <w:jc w:val="center"/>
              <w:rPr>
                <w:rFonts w:hint="eastAsia" w:ascii="宋体" w:hAnsi="宋体" w:eastAsia="宋体" w:cs="宋体"/>
                <w:i w:val="0"/>
                <w:iCs w:val="0"/>
                <w:color w:val="auto"/>
                <w:kern w:val="2"/>
                <w:sz w:val="20"/>
                <w:szCs w:val="20"/>
                <w:u w:val="none"/>
                <w:lang w:val="en-US" w:eastAsia="zh-CN" w:bidi="ar-SA"/>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top"/>
          </w:tcPr>
          <w:p w14:paraId="423A8A8C">
            <w:pPr>
              <w:snapToGrid w:val="0"/>
              <w:jc w:val="center"/>
              <w:rPr>
                <w:rFonts w:hint="eastAsia" w:ascii="宋体" w:hAnsi="宋体" w:eastAsia="宋体" w:cs="宋体"/>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2570E">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97D4D">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7E05BF">
            <w:pPr>
              <w:snapToGrid w:val="0"/>
              <w:jc w:val="center"/>
              <w:rPr>
                <w:rFonts w:hint="default" w:ascii="宋体" w:hAnsi="宋体" w:eastAsia="宋体" w:cs="宋体"/>
                <w:b w:val="0"/>
                <w:bCs w:val="0"/>
                <w:i w:val="0"/>
                <w:iCs w:val="0"/>
                <w:color w:val="auto"/>
                <w:kern w:val="2"/>
                <w:sz w:val="20"/>
                <w:szCs w:val="20"/>
                <w:u w:val="none"/>
                <w:lang w:val="en-US" w:eastAsia="zh-CN" w:bidi="ar-SA"/>
              </w:rPr>
            </w:pPr>
          </w:p>
        </w:tc>
      </w:tr>
      <w:tr w14:paraId="658070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26B21">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8.1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6F656">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堡垒机</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D1E96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1.名称:堡垒机</w:t>
            </w:r>
          </w:p>
          <w:p w14:paraId="722EDAE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2.技术要求：应提供虚拟机版安装包；适配管理网云平台部署环境； 授权1000个被管资源数，授权有效期3年，提供3年系统升级更新服务。</w:t>
            </w:r>
          </w:p>
          <w:p w14:paraId="5118E02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3.其他:包括但不限于供货、安装督导、试运行、其他相关验收、培训、质保等工作内容。</w:t>
            </w:r>
          </w:p>
          <w:p w14:paraId="1EB69D4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1834DF">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CE2B5">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8D02F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35908.92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860703">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35908.92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39D01">
            <w:pPr>
              <w:widowControl/>
              <w:spacing w:line="276" w:lineRule="auto"/>
              <w:rPr>
                <w:rFonts w:hint="eastAsia" w:eastAsia="仿宋" w:asciiTheme="minorHAnsi" w:hAnsiTheme="minorHAnsi" w:cstheme="minorBidi"/>
                <w:i w:val="0"/>
                <w:iCs w:val="0"/>
                <w:color w:val="auto"/>
                <w:kern w:val="2"/>
                <w:sz w:val="21"/>
                <w:szCs w:val="15"/>
                <w:highlight w:val="none"/>
                <w:lang w:val="en-US" w:eastAsia="zh-CN" w:bidi="ar-SA"/>
              </w:rPr>
            </w:pPr>
            <w:r>
              <w:rPr>
                <w:rFonts w:hint="eastAsia" w:ascii="宋体" w:hAnsi="宋体" w:eastAsia="宋体" w:cs="宋体"/>
                <w:b w:val="0"/>
                <w:bCs w:val="0"/>
                <w:i w:val="0"/>
                <w:iCs w:val="0"/>
                <w:color w:val="auto"/>
                <w:kern w:val="0"/>
                <w:sz w:val="20"/>
                <w:szCs w:val="20"/>
                <w:highlight w:val="none"/>
                <w:u w:val="none"/>
                <w:lang w:val="en-US" w:eastAsia="zh-CN" w:bidi="ar"/>
              </w:rPr>
              <w:t>云化部署，软件。</w:t>
            </w:r>
          </w:p>
        </w:tc>
      </w:tr>
      <w:tr w14:paraId="254B265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05C0B">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8.2</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BAAE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数据库审计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B3DA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1.名称:数据库审计</w:t>
            </w:r>
          </w:p>
          <w:p w14:paraId="5E05EDD8">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数据库审计设备主要技术指标要求如下：1、支持30个实例数，含永久软件使用授权和三年标准维保服务。性能指标：峰值事件处理能力30000条语句/秒，日志存储最低16亿条。推荐ECS服务器配置：CPU4核、内存16G、数据云盘2T。2、投标人应承诺所投数据库审计应满足并具备长沙穗城云资源及其承载的各应用所采用的数据库的防护和审计功能，具体采用的数据库待设计联络阶段根据各应用需求确定。若所投产品不能满足长沙穗城基于云平台的业务应用要求的，投标人应无条件进行更换。3、支持对SQL语句执行结果、时间、异常等数据库操作响应信息的审计；支持不同维度的黑白名单策略。4、提供对数据库漏洞、风险配置、弱口令等深层薄弱环节的安全检测及评估功能；提供对风险和危害访问的分析功能。5、支持灵活的事件识别及审计规则，包括但不限于操作类型、时间、IP地址、敏感数据等不同维度。</w:t>
            </w:r>
          </w:p>
          <w:p w14:paraId="1D9542A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7933C5B9">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1D14A7">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3BF2">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A8941">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38344.42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A421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38344.42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F80AF">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云化部署，含授权，软件。</w:t>
            </w:r>
          </w:p>
        </w:tc>
      </w:tr>
      <w:tr w14:paraId="6C4470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51BAFF">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8.3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7E3F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WAF</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48874">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1.名称:WAF</w:t>
            </w:r>
          </w:p>
          <w:p w14:paraId="70DCB99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2.技术要求：Web应用防火墙软件版，应支持VMware、KVM版本。软件最低配置要求8核CPU，16G内存，硬盘1TB。软件Web防护流量200Mbps，无站点限制（建议100个域名）。含永久软件使用权和3年软件特征库升级服务。</w:t>
            </w:r>
          </w:p>
          <w:p w14:paraId="1C14D4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3CAD0D4D">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5936E">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台</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9AF9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C246C">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36308.12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443E2">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36308.12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2EB45">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云化部署，软件。</w:t>
            </w:r>
          </w:p>
        </w:tc>
      </w:tr>
      <w:tr w14:paraId="52C58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76C0D">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 xml:space="preserve">8.4 </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490F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主机安全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4BAA82">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1.名称:主机安全</w:t>
            </w:r>
          </w:p>
          <w:p w14:paraId="7A122ED0">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2.技术要求：控制中心系统软件，不少于500点授权，应实现对天擎客户端的集中管理，包括终端统一部署、策略配置、任务分发、集中监控、日志报表等终端安全管理功能，支持中英双语界面。</w:t>
            </w:r>
          </w:p>
          <w:p w14:paraId="2F591FDB">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3.其他:包括但不限于系统设计、软硬件开发与制造、供货、安装/安装督导、系统及设备的单体调试、系统测试、设备联调、系统调试及试运行、其他相关验收、培训、质保等工作内容。</w:t>
            </w:r>
          </w:p>
          <w:p w14:paraId="1F27EB8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4.具体详见用户需求书、招标文件、设计图纸等建设单位对本项需求提供的相关技术文件。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8D5DF1">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904B8D">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D38C8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15698.96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D9F1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15698.96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32AE09">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云化部署，软件。</w:t>
            </w:r>
          </w:p>
        </w:tc>
      </w:tr>
      <w:tr w14:paraId="35CB30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65AD6">
            <w:pPr>
              <w:keepNext w:val="0"/>
              <w:keepLines w:val="0"/>
              <w:widowControl/>
              <w:suppressLineNumbers w:val="0"/>
              <w:snapToGrid w:val="0"/>
              <w:jc w:val="center"/>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9</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BA7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集成实施服务</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4FF2C5">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FF8AA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FD33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3182B4">
            <w:pPr>
              <w:snapToGrid w:val="0"/>
              <w:jc w:val="center"/>
              <w:rPr>
                <w:rFonts w:hint="eastAsia" w:ascii="宋体" w:hAnsi="宋体" w:eastAsia="宋体" w:cs="宋体"/>
                <w:b w:val="0"/>
                <w:bCs w:val="0"/>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59A0D">
            <w:pPr>
              <w:snapToGrid w:val="0"/>
              <w:jc w:val="center"/>
              <w:rPr>
                <w:rFonts w:hint="default" w:ascii="宋体" w:hAnsi="宋体" w:eastAsia="宋体" w:cs="宋体"/>
                <w:b w:val="0"/>
                <w:bCs w:val="0"/>
                <w:i w:val="0"/>
                <w:iCs w:val="0"/>
                <w:color w:val="auto"/>
                <w:kern w:val="2"/>
                <w:sz w:val="20"/>
                <w:szCs w:val="20"/>
                <w:u w:val="none"/>
                <w:lang w:val="en-US" w:eastAsia="zh-CN" w:bidi="ar-SA"/>
              </w:rPr>
            </w:pP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3C77A">
            <w:pPr>
              <w:snapToGrid w:val="0"/>
              <w:jc w:val="center"/>
              <w:rPr>
                <w:rFonts w:hint="default"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2"/>
                <w:sz w:val="20"/>
                <w:szCs w:val="20"/>
                <w:u w:val="none"/>
                <w:lang w:val="en-US" w:eastAsia="zh-CN" w:bidi="ar-SA"/>
              </w:rPr>
              <w:t>已包含在其他项目价格内</w:t>
            </w:r>
          </w:p>
        </w:tc>
      </w:tr>
      <w:tr w14:paraId="799424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DDA6B7">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10</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18C8C">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信息安全防护第三方技术测试</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CA934E">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1.名称:信息安全防护第三方技术测试</w:t>
            </w:r>
          </w:p>
          <w:p w14:paraId="7B24BAFA">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054253B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02DD8">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套</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75094">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5AC05E">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88593.94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EB0C30">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88593.94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8787">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0"/>
                <w:sz w:val="20"/>
                <w:szCs w:val="20"/>
                <w:highlight w:val="none"/>
                <w:u w:val="none"/>
                <w:lang w:val="en-US" w:eastAsia="zh-CN" w:bidi="ar"/>
              </w:rPr>
            </w:pPr>
            <w:r>
              <w:rPr>
                <w:rFonts w:hint="eastAsia" w:ascii="宋体" w:hAnsi="宋体" w:eastAsia="宋体" w:cs="宋体"/>
                <w:b w:val="0"/>
                <w:bCs w:val="0"/>
                <w:i w:val="0"/>
                <w:iCs w:val="0"/>
                <w:color w:val="auto"/>
                <w:kern w:val="0"/>
                <w:sz w:val="20"/>
                <w:szCs w:val="20"/>
                <w:highlight w:val="none"/>
                <w:u w:val="none"/>
                <w:lang w:val="en-US" w:eastAsia="zh-CN" w:bidi="ar"/>
              </w:rPr>
              <w:t>服务</w:t>
            </w:r>
          </w:p>
        </w:tc>
      </w:tr>
      <w:tr w14:paraId="726220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5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8B6D1B">
            <w:pPr>
              <w:keepNext w:val="0"/>
              <w:keepLines w:val="0"/>
              <w:widowControl/>
              <w:suppressLineNumbers w:val="0"/>
              <w:snapToGrid w:val="0"/>
              <w:jc w:val="center"/>
              <w:textAlignment w:val="center"/>
              <w:rPr>
                <w:rFonts w:hint="default" w:ascii="宋体" w:hAnsi="宋体" w:eastAsia="宋体" w:cs="宋体"/>
                <w:i w:val="0"/>
                <w:iCs w:val="0"/>
                <w:color w:val="auto"/>
                <w:sz w:val="20"/>
                <w:szCs w:val="20"/>
                <w:u w:val="none"/>
                <w:lang w:val="en-US"/>
              </w:rPr>
            </w:pPr>
            <w:r>
              <w:rPr>
                <w:rFonts w:hint="eastAsia" w:ascii="宋体" w:hAnsi="宋体" w:eastAsia="宋体" w:cs="宋体"/>
                <w:i w:val="0"/>
                <w:iCs w:val="0"/>
                <w:color w:val="auto"/>
                <w:kern w:val="0"/>
                <w:sz w:val="20"/>
                <w:szCs w:val="20"/>
                <w:u w:val="none"/>
                <w:lang w:val="en-US" w:eastAsia="zh-CN" w:bidi="ar"/>
              </w:rPr>
              <w:t>14</w:t>
            </w:r>
          </w:p>
        </w:tc>
        <w:tc>
          <w:tcPr>
            <w:tcW w:w="22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EC257">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kern w:val="0"/>
                <w:sz w:val="20"/>
                <w:szCs w:val="20"/>
                <w:u w:val="none"/>
                <w:lang w:val="en-US" w:eastAsia="zh-CN" w:bidi="ar"/>
              </w:rPr>
              <w:t>系统迁移费用</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D6E80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1.名称:系统迁移费用</w:t>
            </w:r>
          </w:p>
          <w:p w14:paraId="6EB57D71">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2.其他:包括但不限于系统设计、软硬件开发与制造、供货、安装/安装督导、系统及设备的单体调试、系统测试、设备联调、系统调试及试运行、其他相关验收、培训、质保等工作内容。</w:t>
            </w:r>
          </w:p>
          <w:p w14:paraId="1684257F">
            <w:pPr>
              <w:keepNext w:val="0"/>
              <w:keepLines w:val="0"/>
              <w:widowControl/>
              <w:suppressLineNumbers w:val="0"/>
              <w:snapToGrid w:val="0"/>
              <w:jc w:val="left"/>
              <w:textAlignment w:val="center"/>
              <w:rPr>
                <w:rFonts w:hint="eastAsia" w:ascii="宋体" w:hAnsi="宋体" w:eastAsia="宋体" w:cs="宋体"/>
                <w:i w:val="0"/>
                <w:iCs w:val="0"/>
                <w:color w:val="auto"/>
                <w:sz w:val="20"/>
                <w:szCs w:val="20"/>
                <w:u w:val="none"/>
              </w:rPr>
            </w:pPr>
            <w:r>
              <w:rPr>
                <w:rFonts w:hint="eastAsia" w:ascii="宋体" w:hAnsi="宋体" w:eastAsia="宋体" w:cs="宋体"/>
                <w:i w:val="0"/>
                <w:iCs w:val="0"/>
                <w:color w:val="auto"/>
                <w:sz w:val="20"/>
                <w:szCs w:val="20"/>
                <w:u w:val="none"/>
              </w:rPr>
              <w:t>3.具体详见用户需求书、招标文件、设计图纸等建设单位对本项需求提供的相关技术文件。</w:t>
            </w: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B5689">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批</w:t>
            </w: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419D0">
            <w:pPr>
              <w:keepNext w:val="0"/>
              <w:keepLines w:val="0"/>
              <w:widowControl/>
              <w:suppressLineNumbers w:val="0"/>
              <w:snapToGrid w:val="0"/>
              <w:jc w:val="center"/>
              <w:textAlignment w:val="center"/>
              <w:rPr>
                <w:rFonts w:hint="eastAsia" w:ascii="宋体" w:hAnsi="宋体" w:eastAsia="宋体" w:cs="宋体"/>
                <w:i w:val="0"/>
                <w:iCs w:val="0"/>
                <w:color w:val="auto"/>
                <w:kern w:val="2"/>
                <w:sz w:val="20"/>
                <w:szCs w:val="20"/>
                <w:u w:val="none"/>
                <w:lang w:val="en-US" w:eastAsia="zh-CN" w:bidi="ar-SA"/>
              </w:rPr>
            </w:pPr>
            <w:r>
              <w:rPr>
                <w:rFonts w:hint="eastAsia" w:ascii="宋体" w:hAnsi="宋体" w:eastAsia="宋体" w:cs="宋体"/>
                <w:i w:val="0"/>
                <w:iCs w:val="0"/>
                <w:color w:val="auto"/>
                <w:kern w:val="0"/>
                <w:sz w:val="20"/>
                <w:szCs w:val="20"/>
                <w:u w:val="none"/>
                <w:lang w:val="en-US" w:eastAsia="zh-CN" w:bidi="ar"/>
              </w:rPr>
              <w:t xml:space="preserve">1 </w:t>
            </w: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276D06">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566902.67 </w:t>
            </w: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3A396D">
            <w:pPr>
              <w:keepNext w:val="0"/>
              <w:keepLines w:val="0"/>
              <w:widowControl/>
              <w:suppressLineNumbers w:val="0"/>
              <w:snapToGrid w:val="0"/>
              <w:jc w:val="center"/>
              <w:textAlignment w:val="center"/>
              <w:rPr>
                <w:rFonts w:hint="eastAsia" w:ascii="宋体" w:hAnsi="宋体" w:eastAsia="宋体" w:cs="宋体"/>
                <w:b w:val="0"/>
                <w:bCs w:val="0"/>
                <w:i w:val="0"/>
                <w:iCs w:val="0"/>
                <w:color w:val="auto"/>
                <w:kern w:val="2"/>
                <w:sz w:val="20"/>
                <w:szCs w:val="20"/>
                <w:u w:val="none"/>
                <w:lang w:val="en-US" w:eastAsia="zh-CN" w:bidi="ar-SA"/>
              </w:rPr>
            </w:pPr>
            <w:r>
              <w:rPr>
                <w:rFonts w:hint="eastAsia" w:ascii="宋体" w:hAnsi="宋体" w:eastAsia="宋体" w:cs="宋体"/>
                <w:b w:val="0"/>
                <w:bCs w:val="0"/>
                <w:i w:val="0"/>
                <w:iCs w:val="0"/>
                <w:color w:val="auto"/>
                <w:kern w:val="0"/>
                <w:sz w:val="20"/>
                <w:szCs w:val="20"/>
                <w:u w:val="none"/>
                <w:lang w:val="en-US" w:eastAsia="zh-CN" w:bidi="ar"/>
              </w:rPr>
              <w:t xml:space="preserve">566902.67 </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5747F2">
            <w:pPr>
              <w:keepNext w:val="0"/>
              <w:keepLines w:val="0"/>
              <w:widowControl/>
              <w:suppressLineNumbers w:val="0"/>
              <w:snapToGrid w:val="0"/>
              <w:jc w:val="center"/>
              <w:textAlignment w:val="center"/>
              <w:rPr>
                <w:rFonts w:hint="default" w:ascii="宋体" w:hAnsi="宋体" w:eastAsia="宋体" w:cs="宋体"/>
                <w:b w:val="0"/>
                <w:bCs w:val="0"/>
                <w:i w:val="0"/>
                <w:iCs w:val="0"/>
                <w:color w:val="auto"/>
                <w:kern w:val="0"/>
                <w:sz w:val="20"/>
                <w:szCs w:val="20"/>
                <w:u w:val="none"/>
                <w:lang w:val="en-US" w:eastAsia="zh-CN" w:bidi="ar"/>
              </w:rPr>
            </w:pPr>
            <w:r>
              <w:rPr>
                <w:rFonts w:hint="eastAsia" w:ascii="宋体" w:hAnsi="宋体" w:eastAsia="宋体" w:cs="宋体"/>
                <w:b w:val="0"/>
                <w:bCs w:val="0"/>
                <w:i w:val="0"/>
                <w:iCs w:val="0"/>
                <w:color w:val="auto"/>
                <w:kern w:val="0"/>
                <w:sz w:val="20"/>
                <w:szCs w:val="20"/>
                <w:u w:val="none"/>
                <w:lang w:val="en-US" w:eastAsia="zh-CN" w:bidi="ar"/>
              </w:rPr>
              <w:t>服务</w:t>
            </w:r>
          </w:p>
        </w:tc>
      </w:tr>
      <w:tr w14:paraId="5402CB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32" w:type="dxa"/>
            <w:left w:w="64" w:type="dxa"/>
            <w:bottom w:w="32" w:type="dxa"/>
            <w:right w:w="64" w:type="dxa"/>
          </w:tblCellMar>
        </w:tblPrEx>
        <w:trPr>
          <w:trHeight w:val="0" w:hRule="atLeast"/>
          <w:jc w:val="center"/>
        </w:trPr>
        <w:tc>
          <w:tcPr>
            <w:tcW w:w="288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DBCD413">
            <w:pPr>
              <w:keepNext w:val="0"/>
              <w:keepLines w:val="0"/>
              <w:widowControl/>
              <w:suppressLineNumbers w:val="0"/>
              <w:snapToGrid w:val="0"/>
              <w:jc w:val="center"/>
              <w:textAlignment w:val="center"/>
              <w:rPr>
                <w:rFonts w:hint="eastAsia" w:ascii="宋体" w:hAnsi="宋体" w:eastAsia="宋体" w:cs="宋体"/>
                <w:b/>
                <w:bCs/>
                <w:i w:val="0"/>
                <w:iCs w:val="0"/>
                <w:color w:val="auto"/>
                <w:sz w:val="20"/>
                <w:szCs w:val="20"/>
                <w:u w:val="none"/>
              </w:rPr>
            </w:pPr>
            <w:r>
              <w:rPr>
                <w:rFonts w:hint="eastAsia" w:ascii="宋体" w:hAnsi="宋体" w:eastAsia="宋体" w:cs="宋体"/>
                <w:b/>
                <w:bCs/>
                <w:i w:val="0"/>
                <w:iCs w:val="0"/>
                <w:color w:val="auto"/>
                <w:kern w:val="0"/>
                <w:sz w:val="20"/>
                <w:szCs w:val="20"/>
                <w:u w:val="none"/>
                <w:lang w:val="en-US" w:eastAsia="zh-CN" w:bidi="ar"/>
              </w:rPr>
              <w:t>含税合价</w:t>
            </w:r>
          </w:p>
        </w:tc>
        <w:tc>
          <w:tcPr>
            <w:tcW w:w="57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99022D">
            <w:pPr>
              <w:snapToGrid w:val="0"/>
              <w:jc w:val="left"/>
              <w:rPr>
                <w:rFonts w:hint="eastAsia" w:ascii="宋体" w:hAnsi="宋体" w:eastAsia="宋体" w:cs="宋体"/>
                <w:b/>
                <w:bCs/>
                <w:i w:val="0"/>
                <w:iCs w:val="0"/>
                <w:color w:val="auto"/>
                <w:sz w:val="20"/>
                <w:szCs w:val="20"/>
                <w:u w:val="none"/>
              </w:rPr>
            </w:pPr>
          </w:p>
        </w:tc>
        <w:tc>
          <w:tcPr>
            <w:tcW w:w="6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F837AB">
            <w:pPr>
              <w:snapToGrid w:val="0"/>
              <w:jc w:val="center"/>
              <w:rPr>
                <w:rFonts w:hint="eastAsia" w:ascii="宋体" w:hAnsi="宋体" w:eastAsia="宋体" w:cs="宋体"/>
                <w:b/>
                <w:bCs/>
                <w:i w:val="0"/>
                <w:iCs w:val="0"/>
                <w:color w:val="auto"/>
                <w:sz w:val="20"/>
                <w:szCs w:val="20"/>
                <w:u w:val="none"/>
              </w:rPr>
            </w:pPr>
          </w:p>
        </w:tc>
        <w:tc>
          <w:tcPr>
            <w:tcW w:w="7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A5BA9">
            <w:pPr>
              <w:snapToGrid w:val="0"/>
              <w:jc w:val="center"/>
              <w:rPr>
                <w:rFonts w:hint="eastAsia" w:ascii="宋体" w:hAnsi="宋体" w:eastAsia="宋体" w:cs="宋体"/>
                <w:b/>
                <w:bCs/>
                <w:i w:val="0"/>
                <w:iCs w:val="0"/>
                <w:color w:val="auto"/>
                <w:kern w:val="2"/>
                <w:sz w:val="20"/>
                <w:szCs w:val="20"/>
                <w:u w:val="none"/>
                <w:lang w:val="en-US" w:eastAsia="zh-CN" w:bidi="ar-SA"/>
              </w:rPr>
            </w:pPr>
          </w:p>
        </w:tc>
        <w:tc>
          <w:tcPr>
            <w:tcW w:w="132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CFDD7">
            <w:pPr>
              <w:snapToGrid w:val="0"/>
              <w:jc w:val="center"/>
              <w:rPr>
                <w:rFonts w:hint="eastAsia" w:ascii="宋体" w:hAnsi="宋体" w:eastAsia="宋体" w:cs="宋体"/>
                <w:b/>
                <w:bCs/>
                <w:i w:val="0"/>
                <w:iCs w:val="0"/>
                <w:color w:val="auto"/>
                <w:kern w:val="2"/>
                <w:sz w:val="20"/>
                <w:szCs w:val="20"/>
                <w:u w:val="none"/>
                <w:lang w:val="en-US" w:eastAsia="zh-CN" w:bidi="ar-SA"/>
              </w:rPr>
            </w:pPr>
          </w:p>
        </w:tc>
        <w:tc>
          <w:tcPr>
            <w:tcW w:w="139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E0900">
            <w:pPr>
              <w:snapToGrid w:val="0"/>
              <w:jc w:val="center"/>
              <w:rPr>
                <w:rFonts w:hint="eastAsia" w:ascii="宋体" w:hAnsi="宋体" w:eastAsia="宋体" w:cs="宋体"/>
                <w:b/>
                <w:bCs/>
                <w:i w:val="0"/>
                <w:iCs w:val="0"/>
                <w:color w:val="auto"/>
                <w:kern w:val="2"/>
                <w:sz w:val="20"/>
                <w:szCs w:val="20"/>
                <w:u w:val="none"/>
                <w:lang w:val="en-US" w:eastAsia="zh-CN" w:bidi="ar-SA"/>
              </w:rPr>
            </w:pPr>
            <w:r>
              <w:rPr>
                <w:rFonts w:hint="eastAsia" w:ascii="宋体" w:hAnsi="宋体" w:eastAsia="宋体" w:cs="宋体"/>
                <w:b/>
                <w:bCs/>
                <w:i w:val="0"/>
                <w:iCs w:val="0"/>
                <w:color w:val="auto"/>
                <w:kern w:val="0"/>
                <w:sz w:val="20"/>
                <w:szCs w:val="20"/>
                <w:u w:val="none"/>
                <w:lang w:val="en-US" w:eastAsia="zh-CN" w:bidi="ar"/>
              </w:rPr>
              <w:t>17020055.59</w:t>
            </w:r>
          </w:p>
        </w:tc>
        <w:tc>
          <w:tcPr>
            <w:tcW w:w="137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24D52">
            <w:pPr>
              <w:keepNext w:val="0"/>
              <w:keepLines w:val="0"/>
              <w:widowControl/>
              <w:suppressLineNumbers w:val="0"/>
              <w:snapToGrid w:val="0"/>
              <w:jc w:val="center"/>
              <w:textAlignment w:val="center"/>
              <w:rPr>
                <w:rFonts w:hint="eastAsia" w:ascii="宋体" w:hAnsi="宋体" w:eastAsia="宋体" w:cs="宋体"/>
                <w:b/>
                <w:bCs/>
                <w:i w:val="0"/>
                <w:iCs w:val="0"/>
                <w:color w:val="auto"/>
                <w:kern w:val="2"/>
                <w:sz w:val="20"/>
                <w:szCs w:val="20"/>
                <w:u w:val="none"/>
                <w:lang w:val="en-US" w:eastAsia="zh-CN" w:bidi="ar-SA"/>
              </w:rPr>
            </w:pPr>
          </w:p>
        </w:tc>
      </w:tr>
    </w:tbl>
    <w:p w14:paraId="536F22E7">
      <w:pPr>
        <w:rPr>
          <w:rFonts w:hint="eastAsia"/>
          <w:lang w:val="en-US" w:eastAsia="zh-CN"/>
        </w:rPr>
      </w:pPr>
    </w:p>
    <w:p w14:paraId="4951C228">
      <w:pPr>
        <w:rPr>
          <w:rFonts w:hint="eastAsia"/>
          <w:lang w:val="en-US" w:eastAsia="zh-CN"/>
        </w:rPr>
      </w:pPr>
      <w:r>
        <w:rPr>
          <w:rFonts w:hint="eastAsia"/>
          <w:lang w:val="en-US" w:eastAsia="zh-CN"/>
        </w:rPr>
        <w:t>注：</w:t>
      </w:r>
    </w:p>
    <w:p w14:paraId="046A414A">
      <w:pPr>
        <w:rPr>
          <w:rFonts w:hint="eastAsia"/>
          <w:lang w:val="en-US" w:eastAsia="zh-CN"/>
        </w:rPr>
      </w:pPr>
      <w:r>
        <w:rPr>
          <w:rFonts w:hint="eastAsia"/>
          <w:lang w:val="en-US" w:eastAsia="zh-CN"/>
        </w:rPr>
        <w:t>1.以上费用包含但不限于设计联络、系统设计、软硬件开发与制造、运输、保险、供货、二次搬运、安装/安装督导、系统及设备的单体调试、系统测试、设备联调、系统调试及试运行、其他相关验收、培训、质保等工作内容以及利润、税金、项目管理等全部费用。</w:t>
      </w:r>
    </w:p>
    <w:p w14:paraId="6640D040">
      <w:pPr>
        <w:rPr>
          <w:rFonts w:hint="eastAsia"/>
          <w:lang w:val="en-US" w:eastAsia="zh-CN"/>
        </w:rPr>
      </w:pPr>
      <w:r>
        <w:rPr>
          <w:rFonts w:hint="eastAsia"/>
          <w:lang w:val="en-US" w:eastAsia="zh-CN"/>
        </w:rPr>
        <w:t>2.具体详见用户需求书、招标文件、设计图纸等建设单位对本项需求提供的相关技术文件。</w:t>
      </w:r>
    </w:p>
    <w:p w14:paraId="705C8AC8">
      <w:pPr>
        <w:rPr>
          <w:rFonts w:hint="default"/>
          <w:lang w:val="en-US" w:eastAsia="zh-CN"/>
        </w:rPr>
      </w:pPr>
      <w:r>
        <w:rPr>
          <w:rFonts w:hint="eastAsia"/>
          <w:lang w:val="en-US" w:eastAsia="zh-CN"/>
        </w:rPr>
        <w:t>3.控制价公示表序号对应用户需求书设备清单表编号。</w:t>
      </w:r>
    </w:p>
    <w:p w14:paraId="5767440B">
      <w:pPr>
        <w:rPr>
          <w:rFonts w:hint="eastAsia"/>
          <w:lang w:val="en-US" w:eastAsia="zh-CN"/>
        </w:rPr>
      </w:pPr>
      <w:bookmarkStart w:id="0" w:name="_GoBack"/>
      <w:bookmarkEnd w:id="0"/>
    </w:p>
    <w:p w14:paraId="0D4D2577">
      <w:pPr>
        <w:rPr>
          <w:rFonts w:hint="eastAsia"/>
          <w:lang w:val="en-US" w:eastAsia="zh-CN"/>
        </w:rPr>
      </w:pPr>
    </w:p>
    <w:p w14:paraId="28F78099">
      <w:pPr>
        <w:rPr>
          <w:rFonts w:hint="eastAsia"/>
          <w:lang w:val="en-US" w:eastAsia="zh-CN"/>
        </w:rPr>
      </w:pPr>
    </w:p>
    <w:sectPr>
      <w:pgSz w:w="16838" w:h="11906" w:orient="landscape"/>
      <w:pgMar w:top="1800" w:right="1440" w:bottom="1800" w:left="1440" w:header="851" w:footer="992" w:gutter="0"/>
      <w:pgBorders w:offsetFrom="page">
        <w:top w:val="none" w:sz="0" w:space="0"/>
        <w:left w:val="none" w:sz="0" w:space="0"/>
        <w:bottom w:val="none" w:sz="0" w:space="0"/>
        <w:right w:val="none" w:sz="0" w:space="0"/>
      </w:pgBorders>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9D6CB9"/>
    <w:rsid w:val="08AF6A41"/>
    <w:rsid w:val="09F870CF"/>
    <w:rsid w:val="0CFC3CC5"/>
    <w:rsid w:val="10377A0A"/>
    <w:rsid w:val="1C1E1078"/>
    <w:rsid w:val="25926A58"/>
    <w:rsid w:val="25B41E34"/>
    <w:rsid w:val="2C7A6311"/>
    <w:rsid w:val="2F3D47B3"/>
    <w:rsid w:val="32A8036C"/>
    <w:rsid w:val="53A873C7"/>
    <w:rsid w:val="58C83DBA"/>
    <w:rsid w:val="5A6A4AC7"/>
    <w:rsid w:val="5EF86A54"/>
    <w:rsid w:val="6B14475E"/>
    <w:rsid w:val="6B58132D"/>
    <w:rsid w:val="6C7517D5"/>
    <w:rsid w:val="711B1E23"/>
    <w:rsid w:val="78A11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styleId="4">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45</Pages>
  <Words>22467</Words>
  <Characters>26354</Characters>
  <Lines>0</Lines>
  <Paragraphs>0</Paragraphs>
  <TotalTime>3</TotalTime>
  <ScaleCrop>false</ScaleCrop>
  <LinksUpToDate>false</LinksUpToDate>
  <CharactersWithSpaces>27255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2025-09-02T02:41:00Z</dcterms:created>
  <dc:creator>pci</dc:creator>
  <cp:lastModifiedBy>刘志勇</cp:lastModifiedBy>
  <dcterms:modified xsi:type="dcterms:W3CDTF">2025-09-05T08:03:13Z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eyJoZGlkIjoiN2Y2YzBjODg5ZDVmNjJhMDY5ZjIwYzg2OTljZTliMzIiLCJ1c2VySWQiOiI5NDQ4MDcwOTcifQ==</vt:lpwstr>
  </property>
  <property fmtid="{D5CDD505-2E9C-101B-9397-08002B2CF9AE}" pid="4" name="ICV">
    <vt:lpwstr>880D5588B50E47A7B56EBA2E209A9FE4_12</vt:lpwstr>
  </property>
</Properties>
</file>